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D18C" w14:textId="77777777" w:rsidR="00646AC2" w:rsidRPr="001D74B9" w:rsidRDefault="008C74D9" w:rsidP="00F06F31">
      <w:pPr>
        <w:tabs>
          <w:tab w:val="center" w:pos="4536"/>
          <w:tab w:val="right" w:pos="9073"/>
        </w:tabs>
        <w:jc w:val="center"/>
        <w:rPr>
          <w:lang w:val="en-GB"/>
        </w:rPr>
      </w:pPr>
      <w:r w:rsidRPr="00971383">
        <w:rPr>
          <w:noProof/>
        </w:rPr>
        <w:drawing>
          <wp:inline distT="0" distB="0" distL="0" distR="0" wp14:anchorId="46C57EAE" wp14:editId="2199C483">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2C1DB1" w:rsidRPr="00971383">
        <w:rPr>
          <w:noProof/>
          <w:sz w:val="20"/>
        </w:rPr>
        <mc:AlternateContent>
          <mc:Choice Requires="wps">
            <w:drawing>
              <wp:anchor distT="0" distB="0" distL="114300" distR="114300" simplePos="0" relativeHeight="251658240" behindDoc="1" locked="0" layoutInCell="0" allowOverlap="1" wp14:anchorId="23148D43" wp14:editId="667C1B9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50D2" w14:textId="77777777" w:rsidR="00AE36BD" w:rsidRPr="00260E65" w:rsidRDefault="00AE36BD">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8D4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02D150D2" w14:textId="77777777" w:rsidR="00AE36BD" w:rsidRPr="00260E65" w:rsidRDefault="00AE36BD">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33163A0B" w14:textId="77777777" w:rsidR="00627AFB" w:rsidRPr="001D74B9" w:rsidRDefault="00627AFB" w:rsidP="00C567C4">
      <w:pPr>
        <w:tabs>
          <w:tab w:val="center" w:pos="4536"/>
          <w:tab w:val="right" w:pos="9073"/>
        </w:tabs>
        <w:jc w:val="left"/>
        <w:rPr>
          <w:lang w:val="en-GB"/>
        </w:rPr>
      </w:pPr>
    </w:p>
    <w:p w14:paraId="76BD82D9" w14:textId="77777777" w:rsidR="008C74D9" w:rsidRPr="001D74B9" w:rsidRDefault="008C74D9" w:rsidP="002931F8">
      <w:pPr>
        <w:rPr>
          <w:lang w:val="en-GB"/>
        </w:rPr>
      </w:pPr>
    </w:p>
    <w:p w14:paraId="5F51C148" w14:textId="77777777" w:rsidR="00E96CC9" w:rsidRPr="001D74B9" w:rsidRDefault="00E96CC9" w:rsidP="002931F8">
      <w:pPr>
        <w:jc w:val="right"/>
        <w:rPr>
          <w:b/>
          <w:lang w:val="en-GB"/>
        </w:rPr>
      </w:pPr>
      <w:r w:rsidRPr="001D74B9">
        <w:rPr>
          <w:b/>
          <w:lang w:val="en-GB"/>
        </w:rPr>
        <w:t>SOC/</w:t>
      </w:r>
      <w:r w:rsidR="00F71E65" w:rsidRPr="001D74B9">
        <w:rPr>
          <w:b/>
          <w:lang w:val="en-GB"/>
        </w:rPr>
        <w:t>644</w:t>
      </w:r>
    </w:p>
    <w:p w14:paraId="5E70CA23" w14:textId="77777777" w:rsidR="00563C84" w:rsidRPr="001D74B9" w:rsidRDefault="009446BE" w:rsidP="002931F8">
      <w:pPr>
        <w:jc w:val="right"/>
        <w:rPr>
          <w:lang w:val="en-GB"/>
        </w:rPr>
      </w:pPr>
      <w:r w:rsidRPr="001D74B9">
        <w:rPr>
          <w:b/>
          <w:lang w:val="en-GB"/>
        </w:rPr>
        <w:t>Social dialogue for economic sustainability and resilience</w:t>
      </w:r>
    </w:p>
    <w:p w14:paraId="28077888" w14:textId="77777777" w:rsidR="009B30AA" w:rsidRPr="001D74B9" w:rsidRDefault="009B30AA" w:rsidP="002931F8">
      <w:pPr>
        <w:rPr>
          <w:lang w:val="en-GB"/>
        </w:rPr>
      </w:pPr>
    </w:p>
    <w:p w14:paraId="41A7CEC0" w14:textId="77777777" w:rsidR="009B30AA" w:rsidRPr="001D74B9" w:rsidRDefault="009B30AA" w:rsidP="002931F8">
      <w:pPr>
        <w:rPr>
          <w:lang w:val="en-GB"/>
        </w:rPr>
      </w:pPr>
    </w:p>
    <w:p w14:paraId="5DB37151" w14:textId="77777777" w:rsidR="001C0BF5" w:rsidRPr="001D74B9" w:rsidRDefault="00067F70" w:rsidP="002931F8">
      <w:pPr>
        <w:jc w:val="center"/>
        <w:rPr>
          <w:b/>
          <w:lang w:val="en-GB"/>
        </w:rPr>
      </w:pPr>
      <w:r w:rsidRPr="001D74B9">
        <w:rPr>
          <w:b/>
          <w:sz w:val="28"/>
          <w:szCs w:val="28"/>
          <w:lang w:val="en-GB"/>
        </w:rPr>
        <w:t>OPINION</w:t>
      </w:r>
      <w:r w:rsidR="00563C84" w:rsidRPr="001D74B9">
        <w:rPr>
          <w:b/>
          <w:sz w:val="28"/>
          <w:szCs w:val="28"/>
          <w:lang w:val="en-GB"/>
        </w:rPr>
        <w:br/>
      </w:r>
      <w:r w:rsidR="00563C84" w:rsidRPr="001D74B9">
        <w:rPr>
          <w:lang w:val="en-GB"/>
        </w:rPr>
        <w:br/>
      </w:r>
      <w:r w:rsidR="00A064EB" w:rsidRPr="001D74B9">
        <w:rPr>
          <w:lang w:val="en-GB"/>
        </w:rPr>
        <w:t>European Economic and Social Committee</w:t>
      </w:r>
      <w:r w:rsidR="00563C84" w:rsidRPr="001D74B9">
        <w:rPr>
          <w:lang w:val="en-GB"/>
        </w:rPr>
        <w:br/>
      </w:r>
      <w:r w:rsidR="00563C84" w:rsidRPr="001D74B9">
        <w:rPr>
          <w:lang w:val="en-GB"/>
        </w:rPr>
        <w:br/>
      </w:r>
      <w:r w:rsidR="005A62EB" w:rsidRPr="001D74B9">
        <w:rPr>
          <w:b/>
          <w:lang w:val="en-GB"/>
        </w:rPr>
        <w:t>Social dialogue as an important pillar of economic sustainability and the resilience of economies taking into account the influence of lively public debate in the Member States</w:t>
      </w:r>
    </w:p>
    <w:p w14:paraId="480F1AE6" w14:textId="77777777" w:rsidR="00646AC2" w:rsidRPr="001D74B9" w:rsidRDefault="00563C84" w:rsidP="002931F8">
      <w:pPr>
        <w:jc w:val="center"/>
        <w:rPr>
          <w:lang w:val="en-GB"/>
        </w:rPr>
      </w:pPr>
      <w:r w:rsidRPr="001D74B9">
        <w:rPr>
          <w:b/>
          <w:lang w:val="en-GB"/>
        </w:rPr>
        <w:br/>
      </w:r>
      <w:r w:rsidR="00525F6C" w:rsidRPr="001D74B9">
        <w:rPr>
          <w:lang w:val="en-GB"/>
        </w:rPr>
        <w:t>[</w:t>
      </w:r>
      <w:r w:rsidR="00FF2DC5" w:rsidRPr="001D74B9">
        <w:rPr>
          <w:lang w:val="en-GB"/>
        </w:rPr>
        <w:t>Exploratory opinion at the request of the German Presidency</w:t>
      </w:r>
      <w:r w:rsidR="00525F6C" w:rsidRPr="001D74B9">
        <w:rPr>
          <w:lang w:val="en-GB"/>
        </w:rPr>
        <w:t>]</w:t>
      </w:r>
    </w:p>
    <w:p w14:paraId="0687C7AB" w14:textId="77777777" w:rsidR="00E61812" w:rsidRPr="001D74B9" w:rsidRDefault="00E61812">
      <w:pPr>
        <w:jc w:val="center"/>
        <w:rPr>
          <w:lang w:val="en-GB"/>
        </w:rPr>
      </w:pPr>
    </w:p>
    <w:p w14:paraId="2203A3FE" w14:textId="77777777" w:rsidR="00E61812" w:rsidRPr="00971383" w:rsidRDefault="00E61812">
      <w:pPr>
        <w:jc w:val="center"/>
        <w:rPr>
          <w:lang w:val="en-GB"/>
        </w:rPr>
      </w:pPr>
      <w:r w:rsidRPr="00971383">
        <w:rPr>
          <w:lang w:val="en-GB"/>
        </w:rPr>
        <w:t xml:space="preserve">This opinion was prepared by </w:t>
      </w:r>
      <w:r w:rsidRPr="00971383">
        <w:rPr>
          <w:b/>
          <w:lang w:val="en-GB"/>
        </w:rPr>
        <w:t>Cinzia Del Rio</w:t>
      </w:r>
      <w:r w:rsidRPr="00971383">
        <w:rPr>
          <w:lang w:val="en-GB"/>
        </w:rPr>
        <w:t xml:space="preserve"> as rapporteur and </w:t>
      </w:r>
      <w:r w:rsidRPr="00971383">
        <w:rPr>
          <w:b/>
          <w:lang w:val="en-GB"/>
        </w:rPr>
        <w:t>Vladimíra Drbalová</w:t>
      </w:r>
      <w:r w:rsidRPr="00971383">
        <w:rPr>
          <w:lang w:val="en-GB"/>
        </w:rPr>
        <w:t xml:space="preserve">, EESC member from May 2004 to September 2020, as rapporteur, and presented during the first session of the EESC's 2020-2025 term in October 2020 by </w:t>
      </w:r>
      <w:r w:rsidRPr="00971383">
        <w:rPr>
          <w:b/>
          <w:lang w:val="en-GB"/>
        </w:rPr>
        <w:t>Cinzia Del Rio</w:t>
      </w:r>
      <w:r w:rsidRPr="001D74B9">
        <w:rPr>
          <w:lang w:val="en-GB"/>
        </w:rPr>
        <w:t xml:space="preserve"> </w:t>
      </w:r>
      <w:r w:rsidRPr="00971383">
        <w:rPr>
          <w:lang w:val="en-GB"/>
        </w:rPr>
        <w:t xml:space="preserve">and </w:t>
      </w:r>
      <w:r w:rsidRPr="00971383">
        <w:rPr>
          <w:b/>
          <w:lang w:val="en-GB"/>
        </w:rPr>
        <w:t>René Blijlevens</w:t>
      </w:r>
      <w:r w:rsidRPr="00971383">
        <w:rPr>
          <w:lang w:val="en-GB"/>
        </w:rPr>
        <w:t>, as rapporteurs general.</w:t>
      </w:r>
    </w:p>
    <w:p w14:paraId="00B71BF2" w14:textId="77777777" w:rsidR="00301981" w:rsidRPr="001D74B9" w:rsidRDefault="00301981">
      <w:pPr>
        <w:jc w:val="center"/>
        <w:rPr>
          <w:lang w:val="en-GB"/>
        </w:rPr>
      </w:pPr>
    </w:p>
    <w:p w14:paraId="0BB7D022" w14:textId="77777777" w:rsidR="002931F8" w:rsidRPr="001D74B9" w:rsidRDefault="002931F8">
      <w:pPr>
        <w:overflowPunct w:val="0"/>
        <w:autoSpaceDE w:val="0"/>
        <w:autoSpaceDN w:val="0"/>
        <w:adjustRightInd w:val="0"/>
        <w:jc w:val="center"/>
        <w:textAlignment w:val="baseline"/>
        <w:rPr>
          <w:lang w:val="en-GB"/>
        </w:rPr>
      </w:pPr>
      <w:r w:rsidRPr="001D74B9">
        <w:rPr>
          <w:lang w:val="en-GB"/>
        </w:rPr>
        <w:t>_____________</w:t>
      </w:r>
    </w:p>
    <w:p w14:paraId="25B86B31" w14:textId="77777777" w:rsidR="00B805F7" w:rsidRPr="001D74B9" w:rsidRDefault="00B805F7">
      <w:pPr>
        <w:overflowPunct w:val="0"/>
        <w:autoSpaceDE w:val="0"/>
        <w:autoSpaceDN w:val="0"/>
        <w:adjustRightInd w:val="0"/>
        <w:jc w:val="center"/>
        <w:textAlignment w:val="baseline"/>
        <w:rPr>
          <w:lang w:val="en-GB"/>
        </w:rPr>
      </w:pPr>
    </w:p>
    <w:p w14:paraId="2EF4F6AE" w14:textId="77777777" w:rsidR="00E32DC6" w:rsidRPr="001D74B9" w:rsidRDefault="00E32DC6">
      <w:pPr>
        <w:rPr>
          <w:lang w:val="en-GB"/>
        </w:rPr>
      </w:pPr>
    </w:p>
    <w:p w14:paraId="06A83211" w14:textId="77777777" w:rsidR="00E32DC6" w:rsidRPr="001D74B9" w:rsidRDefault="00E32DC6">
      <w:pPr>
        <w:rPr>
          <w:lang w:val="en-GB"/>
        </w:rPr>
      </w:pPr>
    </w:p>
    <w:p w14:paraId="5DE55F44" w14:textId="77777777" w:rsidR="00D103A1" w:rsidRPr="001D74B9" w:rsidRDefault="00D103A1">
      <w:pPr>
        <w:rPr>
          <w:lang w:val="en-GB"/>
        </w:rPr>
        <w:sectPr w:rsidR="00D103A1" w:rsidRPr="001D74B9" w:rsidSect="00931640">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7208B7" w:rsidRPr="001D74B9" w14:paraId="6ACBFE4D" w14:textId="77777777">
        <w:tc>
          <w:tcPr>
            <w:tcW w:w="3055" w:type="dxa"/>
          </w:tcPr>
          <w:p w14:paraId="4384ADB0" w14:textId="77777777" w:rsidR="00424A92" w:rsidRPr="001D74B9" w:rsidRDefault="00424A92">
            <w:pPr>
              <w:jc w:val="left"/>
              <w:rPr>
                <w:lang w:val="en-GB"/>
              </w:rPr>
            </w:pPr>
            <w:r w:rsidRPr="001D74B9">
              <w:rPr>
                <w:lang w:val="en-GB"/>
              </w:rPr>
              <w:lastRenderedPageBreak/>
              <w:t>Request by the German</w:t>
            </w:r>
          </w:p>
          <w:p w14:paraId="540807B0" w14:textId="77777777" w:rsidR="0011656A" w:rsidRPr="001D74B9" w:rsidRDefault="00424A92">
            <w:pPr>
              <w:jc w:val="left"/>
              <w:rPr>
                <w:lang w:val="en-GB"/>
              </w:rPr>
            </w:pPr>
            <w:r w:rsidRPr="001D74B9">
              <w:rPr>
                <w:lang w:val="en-GB"/>
              </w:rPr>
              <w:t>Presidency of the Council</w:t>
            </w:r>
          </w:p>
        </w:tc>
        <w:tc>
          <w:tcPr>
            <w:tcW w:w="6018" w:type="dxa"/>
          </w:tcPr>
          <w:p w14:paraId="531BC11B" w14:textId="77777777" w:rsidR="0011656A" w:rsidRPr="001D74B9" w:rsidRDefault="00424A92">
            <w:pPr>
              <w:jc w:val="left"/>
              <w:rPr>
                <w:lang w:val="en-GB"/>
              </w:rPr>
            </w:pPr>
            <w:r w:rsidRPr="001D74B9">
              <w:rPr>
                <w:lang w:val="en-GB"/>
              </w:rPr>
              <w:t>Letter</w:t>
            </w:r>
            <w:r w:rsidR="00F648EA" w:rsidRPr="001D74B9">
              <w:rPr>
                <w:lang w:val="en-GB"/>
              </w:rPr>
              <w:t xml:space="preserve">, </w:t>
            </w:r>
            <w:r w:rsidRPr="001D74B9">
              <w:rPr>
                <w:lang w:val="en-GB"/>
              </w:rPr>
              <w:t>18/02/2020</w:t>
            </w:r>
          </w:p>
        </w:tc>
      </w:tr>
      <w:tr w:rsidR="007208B7" w:rsidRPr="001D74B9" w14:paraId="05C2CD16" w14:textId="77777777">
        <w:trPr>
          <w:trHeight w:val="251"/>
        </w:trPr>
        <w:tc>
          <w:tcPr>
            <w:tcW w:w="3055" w:type="dxa"/>
          </w:tcPr>
          <w:p w14:paraId="2EE7B37B" w14:textId="77777777" w:rsidR="0016503F" w:rsidRPr="001D74B9" w:rsidRDefault="0016503F">
            <w:pPr>
              <w:jc w:val="left"/>
              <w:rPr>
                <w:lang w:val="en-GB"/>
              </w:rPr>
            </w:pPr>
            <w:r w:rsidRPr="001D74B9">
              <w:rPr>
                <w:lang w:val="en-GB"/>
              </w:rPr>
              <w:t>Legal basis</w:t>
            </w:r>
          </w:p>
        </w:tc>
        <w:tc>
          <w:tcPr>
            <w:tcW w:w="6018" w:type="dxa"/>
          </w:tcPr>
          <w:p w14:paraId="09DD318E" w14:textId="77777777" w:rsidR="0016503F" w:rsidRPr="001D74B9" w:rsidRDefault="0016503F">
            <w:pPr>
              <w:jc w:val="left"/>
              <w:rPr>
                <w:lang w:val="en-GB"/>
              </w:rPr>
            </w:pPr>
            <w:r w:rsidRPr="001D74B9">
              <w:rPr>
                <w:lang w:val="en-GB"/>
              </w:rPr>
              <w:t xml:space="preserve">Article </w:t>
            </w:r>
            <w:r w:rsidR="00424A92" w:rsidRPr="001D74B9">
              <w:rPr>
                <w:lang w:val="en-GB"/>
              </w:rPr>
              <w:t>304</w:t>
            </w:r>
            <w:r w:rsidRPr="001D74B9">
              <w:rPr>
                <w:lang w:val="en-GB"/>
              </w:rPr>
              <w:t xml:space="preserve"> of the Treaty on the Functioning of the European Union</w:t>
            </w:r>
          </w:p>
        </w:tc>
      </w:tr>
      <w:tr w:rsidR="007208B7" w:rsidRPr="001D74B9" w14:paraId="2170A180" w14:textId="77777777">
        <w:trPr>
          <w:trHeight w:val="250"/>
        </w:trPr>
        <w:tc>
          <w:tcPr>
            <w:tcW w:w="3055" w:type="dxa"/>
          </w:tcPr>
          <w:p w14:paraId="1D4276D2" w14:textId="77777777" w:rsidR="00424A92" w:rsidRPr="001D74B9" w:rsidRDefault="00424A92">
            <w:pPr>
              <w:jc w:val="left"/>
              <w:rPr>
                <w:lang w:val="en-GB"/>
              </w:rPr>
            </w:pPr>
          </w:p>
        </w:tc>
        <w:tc>
          <w:tcPr>
            <w:tcW w:w="6018" w:type="dxa"/>
          </w:tcPr>
          <w:p w14:paraId="19D5281D" w14:textId="77777777" w:rsidR="00424A92" w:rsidRPr="001D74B9" w:rsidRDefault="00424A92">
            <w:pPr>
              <w:jc w:val="left"/>
              <w:rPr>
                <w:lang w:val="en-GB"/>
              </w:rPr>
            </w:pPr>
          </w:p>
        </w:tc>
      </w:tr>
      <w:tr w:rsidR="007208B7" w:rsidRPr="001D74B9" w14:paraId="6523DC3B" w14:textId="77777777">
        <w:tc>
          <w:tcPr>
            <w:tcW w:w="3055" w:type="dxa"/>
          </w:tcPr>
          <w:p w14:paraId="78F0717B" w14:textId="77777777" w:rsidR="00DF5B64" w:rsidRPr="001D74B9" w:rsidRDefault="00AD4B4F">
            <w:pPr>
              <w:jc w:val="left"/>
              <w:rPr>
                <w:lang w:val="en-GB"/>
              </w:rPr>
            </w:pPr>
            <w:r w:rsidRPr="001D74B9">
              <w:rPr>
                <w:lang w:val="en-GB"/>
              </w:rPr>
              <w:t>Section responsible</w:t>
            </w:r>
          </w:p>
        </w:tc>
        <w:tc>
          <w:tcPr>
            <w:tcW w:w="6018" w:type="dxa"/>
          </w:tcPr>
          <w:p w14:paraId="3B3E6E8D" w14:textId="77777777" w:rsidR="00DF5B64" w:rsidRPr="001D74B9" w:rsidRDefault="00424A92">
            <w:pPr>
              <w:jc w:val="left"/>
              <w:rPr>
                <w:lang w:val="en-GB"/>
              </w:rPr>
            </w:pPr>
            <w:r w:rsidRPr="001D74B9">
              <w:rPr>
                <w:lang w:val="en-GB"/>
              </w:rPr>
              <w:t>Employment, Social Affairs and Citizenship</w:t>
            </w:r>
          </w:p>
        </w:tc>
      </w:tr>
      <w:tr w:rsidR="007208B7" w:rsidRPr="001D74B9" w14:paraId="3F86588B" w14:textId="77777777">
        <w:tc>
          <w:tcPr>
            <w:tcW w:w="3055" w:type="dxa"/>
          </w:tcPr>
          <w:p w14:paraId="2BC4A870" w14:textId="77777777" w:rsidR="00A156E6" w:rsidRPr="001D74B9" w:rsidRDefault="00A156E6">
            <w:pPr>
              <w:jc w:val="left"/>
              <w:rPr>
                <w:lang w:val="en-GB"/>
              </w:rPr>
            </w:pPr>
            <w:r w:rsidRPr="001D74B9">
              <w:rPr>
                <w:lang w:val="en-GB"/>
              </w:rPr>
              <w:t>Adopted in section</w:t>
            </w:r>
          </w:p>
        </w:tc>
        <w:tc>
          <w:tcPr>
            <w:tcW w:w="6018" w:type="dxa"/>
          </w:tcPr>
          <w:p w14:paraId="327EA4D5" w14:textId="77777777" w:rsidR="00A156E6" w:rsidRPr="001D74B9" w:rsidRDefault="00233C0E" w:rsidP="0014617C">
            <w:pPr>
              <w:jc w:val="left"/>
              <w:rPr>
                <w:lang w:val="en-GB"/>
              </w:rPr>
            </w:pPr>
            <w:r w:rsidRPr="001D74B9">
              <w:rPr>
                <w:lang w:val="en-GB"/>
              </w:rPr>
              <w:t>09</w:t>
            </w:r>
            <w:r w:rsidR="003439AB" w:rsidRPr="001D74B9">
              <w:rPr>
                <w:lang w:val="en-GB"/>
              </w:rPr>
              <w:t>/</w:t>
            </w:r>
            <w:r w:rsidR="0014617C" w:rsidRPr="001D74B9">
              <w:rPr>
                <w:lang w:val="en-GB"/>
              </w:rPr>
              <w:t>09</w:t>
            </w:r>
            <w:r w:rsidR="003439AB" w:rsidRPr="001D74B9">
              <w:rPr>
                <w:lang w:val="en-GB"/>
              </w:rPr>
              <w:t>/</w:t>
            </w:r>
            <w:r w:rsidR="0014617C" w:rsidRPr="001D74B9">
              <w:rPr>
                <w:lang w:val="en-GB"/>
              </w:rPr>
              <w:t>2020</w:t>
            </w:r>
          </w:p>
        </w:tc>
      </w:tr>
      <w:tr w:rsidR="007208B7" w:rsidRPr="001D74B9" w14:paraId="14F9E7DF" w14:textId="77777777">
        <w:tc>
          <w:tcPr>
            <w:tcW w:w="3055" w:type="dxa"/>
          </w:tcPr>
          <w:p w14:paraId="1FFFAC2F" w14:textId="77777777" w:rsidR="00A156E6" w:rsidRPr="001D74B9" w:rsidRDefault="00A156E6">
            <w:pPr>
              <w:jc w:val="left"/>
              <w:rPr>
                <w:lang w:val="en-GB"/>
              </w:rPr>
            </w:pPr>
            <w:r w:rsidRPr="001D74B9">
              <w:rPr>
                <w:lang w:val="en-GB"/>
              </w:rPr>
              <w:t>Adopted at plenary</w:t>
            </w:r>
          </w:p>
        </w:tc>
        <w:tc>
          <w:tcPr>
            <w:tcW w:w="6018" w:type="dxa"/>
          </w:tcPr>
          <w:p w14:paraId="2E7D38D4" w14:textId="77777777" w:rsidR="00A156E6" w:rsidRPr="001D74B9" w:rsidRDefault="00753923" w:rsidP="002345AA">
            <w:pPr>
              <w:jc w:val="left"/>
              <w:rPr>
                <w:lang w:val="en-GB"/>
              </w:rPr>
            </w:pPr>
            <w:r w:rsidRPr="00971383">
              <w:rPr>
                <w:lang w:val="en-GB"/>
              </w:rPr>
              <w:t>29</w:t>
            </w:r>
            <w:r w:rsidR="003439AB" w:rsidRPr="001D74B9">
              <w:rPr>
                <w:lang w:val="en-GB"/>
              </w:rPr>
              <w:t>/</w:t>
            </w:r>
            <w:r w:rsidR="002345AA" w:rsidRPr="001D74B9">
              <w:rPr>
                <w:lang w:val="en-GB"/>
              </w:rPr>
              <w:t>10</w:t>
            </w:r>
            <w:r w:rsidR="003439AB" w:rsidRPr="001D74B9">
              <w:rPr>
                <w:lang w:val="en-GB"/>
              </w:rPr>
              <w:t>/</w:t>
            </w:r>
            <w:r w:rsidR="002345AA" w:rsidRPr="001D74B9">
              <w:rPr>
                <w:lang w:val="en-GB"/>
              </w:rPr>
              <w:t>2020</w:t>
            </w:r>
          </w:p>
        </w:tc>
      </w:tr>
      <w:tr w:rsidR="007208B7" w:rsidRPr="001D74B9" w14:paraId="2ECC7D53" w14:textId="77777777">
        <w:tc>
          <w:tcPr>
            <w:tcW w:w="3055" w:type="dxa"/>
          </w:tcPr>
          <w:p w14:paraId="52411B18" w14:textId="77777777" w:rsidR="00BA1290" w:rsidRPr="001D74B9" w:rsidRDefault="00BA1290">
            <w:pPr>
              <w:jc w:val="left"/>
              <w:rPr>
                <w:lang w:val="en-GB"/>
              </w:rPr>
            </w:pPr>
            <w:r w:rsidRPr="001D74B9">
              <w:rPr>
                <w:lang w:val="en-GB"/>
              </w:rPr>
              <w:t>Plenary session No</w:t>
            </w:r>
          </w:p>
        </w:tc>
        <w:tc>
          <w:tcPr>
            <w:tcW w:w="6018" w:type="dxa"/>
          </w:tcPr>
          <w:p w14:paraId="26B953B1" w14:textId="77777777" w:rsidR="00BA1290" w:rsidRPr="001D74B9" w:rsidRDefault="002345AA">
            <w:pPr>
              <w:jc w:val="left"/>
              <w:rPr>
                <w:lang w:val="en-GB"/>
              </w:rPr>
            </w:pPr>
            <w:r w:rsidRPr="001D74B9">
              <w:rPr>
                <w:lang w:val="en-GB"/>
              </w:rPr>
              <w:t>555</w:t>
            </w:r>
          </w:p>
        </w:tc>
      </w:tr>
      <w:tr w:rsidR="007208B7" w:rsidRPr="001D74B9" w14:paraId="6C5EF4E3" w14:textId="77777777">
        <w:tc>
          <w:tcPr>
            <w:tcW w:w="3055" w:type="dxa"/>
          </w:tcPr>
          <w:p w14:paraId="75F0B2B0" w14:textId="77777777" w:rsidR="00D423D4" w:rsidRPr="001D74B9" w:rsidRDefault="0043024C">
            <w:pPr>
              <w:jc w:val="left"/>
              <w:rPr>
                <w:lang w:val="en-GB"/>
              </w:rPr>
            </w:pPr>
            <w:r w:rsidRPr="001D74B9">
              <w:rPr>
                <w:lang w:val="en-GB"/>
              </w:rPr>
              <w:t xml:space="preserve">Outcome of </w:t>
            </w:r>
            <w:r w:rsidR="007622A7" w:rsidRPr="001D74B9">
              <w:rPr>
                <w:lang w:val="en-GB"/>
              </w:rPr>
              <w:t>vote</w:t>
            </w:r>
            <w:r w:rsidR="00F20987" w:rsidRPr="001D74B9">
              <w:rPr>
                <w:lang w:val="en-GB"/>
              </w:rPr>
              <w:br/>
            </w:r>
            <w:r w:rsidRPr="001D74B9">
              <w:rPr>
                <w:lang w:val="en-GB"/>
              </w:rPr>
              <w:t>(</w:t>
            </w:r>
            <w:r w:rsidR="007622A7" w:rsidRPr="001D74B9">
              <w:rPr>
                <w:lang w:val="en-GB"/>
              </w:rPr>
              <w:t>for</w:t>
            </w:r>
            <w:r w:rsidRPr="001D74B9">
              <w:rPr>
                <w:lang w:val="en-GB"/>
              </w:rPr>
              <w:t>/against/abstentions)</w:t>
            </w:r>
          </w:p>
        </w:tc>
        <w:tc>
          <w:tcPr>
            <w:tcW w:w="6018" w:type="dxa"/>
            <w:vAlign w:val="bottom"/>
          </w:tcPr>
          <w:p w14:paraId="2E040C77" w14:textId="77777777" w:rsidR="00A156E6" w:rsidRPr="001D74B9" w:rsidRDefault="00753923" w:rsidP="00753923">
            <w:pPr>
              <w:jc w:val="left"/>
              <w:rPr>
                <w:lang w:val="en-GB"/>
              </w:rPr>
            </w:pPr>
            <w:r w:rsidRPr="00971383">
              <w:rPr>
                <w:lang w:val="en-GB"/>
              </w:rPr>
              <w:t>252</w:t>
            </w:r>
            <w:r w:rsidR="00A156E6" w:rsidRPr="001D74B9">
              <w:rPr>
                <w:lang w:val="en-GB"/>
              </w:rPr>
              <w:t>/</w:t>
            </w:r>
            <w:r w:rsidRPr="00971383">
              <w:rPr>
                <w:lang w:val="en-GB"/>
              </w:rPr>
              <w:t>0</w:t>
            </w:r>
            <w:r w:rsidR="00A156E6" w:rsidRPr="001D74B9">
              <w:rPr>
                <w:lang w:val="en-GB"/>
              </w:rPr>
              <w:t>/</w:t>
            </w:r>
            <w:r w:rsidRPr="001D74B9">
              <w:rPr>
                <w:lang w:val="en-GB"/>
              </w:rPr>
              <w:t>5</w:t>
            </w:r>
          </w:p>
        </w:tc>
      </w:tr>
    </w:tbl>
    <w:p w14:paraId="11E5A97F" w14:textId="77777777" w:rsidR="0090053A" w:rsidRPr="001D74B9" w:rsidRDefault="0090053A">
      <w:pPr>
        <w:rPr>
          <w:lang w:val="en-GB"/>
        </w:rPr>
      </w:pPr>
    </w:p>
    <w:p w14:paraId="32A41885" w14:textId="77777777" w:rsidR="00646AC2" w:rsidRPr="001D74B9" w:rsidRDefault="00646AC2">
      <w:pPr>
        <w:rPr>
          <w:lang w:val="en-GB"/>
        </w:rPr>
      </w:pPr>
      <w:r w:rsidRPr="001D74B9">
        <w:rPr>
          <w:lang w:val="en-GB"/>
        </w:rPr>
        <w:br w:type="page"/>
      </w:r>
    </w:p>
    <w:p w14:paraId="5C4D86AC" w14:textId="77777777" w:rsidR="00011D33" w:rsidRPr="001D74B9" w:rsidRDefault="00011D33">
      <w:pPr>
        <w:pStyle w:val="Heading1"/>
        <w:keepNext/>
        <w:rPr>
          <w:b/>
          <w:lang w:val="en-GB"/>
        </w:rPr>
      </w:pPr>
      <w:r w:rsidRPr="001D74B9">
        <w:rPr>
          <w:b/>
          <w:lang w:val="en-GB"/>
        </w:rPr>
        <w:lastRenderedPageBreak/>
        <w:t>Conclusions and recommendations</w:t>
      </w:r>
    </w:p>
    <w:p w14:paraId="253464F4" w14:textId="77777777" w:rsidR="00011D33" w:rsidRPr="001D74B9" w:rsidRDefault="00011D33">
      <w:pPr>
        <w:keepNext/>
        <w:rPr>
          <w:lang w:val="en-GB"/>
        </w:rPr>
      </w:pPr>
    </w:p>
    <w:p w14:paraId="6611B0C4" w14:textId="77777777" w:rsidR="00677F5E" w:rsidRPr="001D74B9" w:rsidRDefault="00677F5E" w:rsidP="001A1F0B">
      <w:pPr>
        <w:pStyle w:val="Heading2"/>
        <w:rPr>
          <w:lang w:val="en-GB"/>
        </w:rPr>
      </w:pPr>
      <w:r w:rsidRPr="001D74B9">
        <w:rPr>
          <w:lang w:val="en-GB"/>
        </w:rPr>
        <w:t xml:space="preserve">Social dialogue, at national and European level, plays a key role in shaping economic, labour and social policies </w:t>
      </w:r>
      <w:r w:rsidR="00171E80" w:rsidRPr="001D74B9">
        <w:rPr>
          <w:lang w:val="en-GB"/>
        </w:rPr>
        <w:t>that promote the</w:t>
      </w:r>
      <w:r w:rsidRPr="001D74B9">
        <w:rPr>
          <w:lang w:val="en-GB"/>
        </w:rPr>
        <w:t xml:space="preserve"> upward convergence of living and working conditions across </w:t>
      </w:r>
      <w:r w:rsidR="00171E80" w:rsidRPr="001D74B9">
        <w:rPr>
          <w:lang w:val="en-GB"/>
        </w:rPr>
        <w:t>Member States</w:t>
      </w:r>
      <w:r w:rsidRPr="001D74B9">
        <w:rPr>
          <w:lang w:val="en-GB"/>
        </w:rPr>
        <w:t xml:space="preserve">. Crisis management, </w:t>
      </w:r>
      <w:r w:rsidR="00171E80" w:rsidRPr="001D74B9">
        <w:rPr>
          <w:lang w:val="en-GB"/>
        </w:rPr>
        <w:t xml:space="preserve">the </w:t>
      </w:r>
      <w:r w:rsidRPr="001D74B9">
        <w:rPr>
          <w:lang w:val="en-GB"/>
        </w:rPr>
        <w:t xml:space="preserve">anticipation and management of change, long-term planning, </w:t>
      </w:r>
      <w:r w:rsidR="00171E80" w:rsidRPr="001D74B9">
        <w:rPr>
          <w:lang w:val="en-GB"/>
        </w:rPr>
        <w:t xml:space="preserve">the </w:t>
      </w:r>
      <w:r w:rsidRPr="001D74B9">
        <w:rPr>
          <w:lang w:val="en-GB"/>
        </w:rPr>
        <w:t xml:space="preserve">capacity to innovate and </w:t>
      </w:r>
      <w:r w:rsidR="00171E80" w:rsidRPr="001D74B9">
        <w:rPr>
          <w:lang w:val="en-GB"/>
        </w:rPr>
        <w:t>follow-up</w:t>
      </w:r>
      <w:r w:rsidRPr="001D74B9">
        <w:rPr>
          <w:lang w:val="en-GB"/>
        </w:rPr>
        <w:t xml:space="preserve"> green and digital transitions, sound business governance and trust-based cooperation between social partners – underpinned by workers</w:t>
      </w:r>
      <w:r w:rsidR="00171E80" w:rsidRPr="001D74B9">
        <w:rPr>
          <w:lang w:val="en-GB"/>
        </w:rPr>
        <w:t>'</w:t>
      </w:r>
      <w:r w:rsidRPr="001D74B9">
        <w:rPr>
          <w:lang w:val="en-GB"/>
        </w:rPr>
        <w:t xml:space="preserve"> information, consultation and participation rights – are part of the same European framework to effectively respond to the challenges Europe is confronted with, </w:t>
      </w:r>
      <w:r w:rsidR="00171E80" w:rsidRPr="001D74B9">
        <w:rPr>
          <w:lang w:val="en-GB"/>
        </w:rPr>
        <w:t xml:space="preserve">and </w:t>
      </w:r>
      <w:r w:rsidRPr="001D74B9">
        <w:rPr>
          <w:lang w:val="en-GB"/>
        </w:rPr>
        <w:t xml:space="preserve">also to address the </w:t>
      </w:r>
      <w:r w:rsidR="00171E80" w:rsidRPr="001D74B9">
        <w:rPr>
          <w:lang w:val="en-GB"/>
        </w:rPr>
        <w:t>COVID</w:t>
      </w:r>
      <w:r w:rsidRPr="001D74B9">
        <w:rPr>
          <w:lang w:val="en-GB"/>
        </w:rPr>
        <w:t>-19 crisis.</w:t>
      </w:r>
    </w:p>
    <w:p w14:paraId="4FB73E05" w14:textId="77777777" w:rsidR="00677F5E" w:rsidRPr="001D74B9" w:rsidRDefault="00677F5E" w:rsidP="001A1F0B">
      <w:pPr>
        <w:pStyle w:val="Heading2"/>
        <w:numPr>
          <w:ilvl w:val="0"/>
          <w:numId w:val="0"/>
        </w:numPr>
        <w:ind w:left="567"/>
        <w:rPr>
          <w:lang w:val="en-GB"/>
        </w:rPr>
      </w:pPr>
    </w:p>
    <w:p w14:paraId="43D33875" w14:textId="77777777" w:rsidR="00677F5E" w:rsidRPr="001D74B9" w:rsidRDefault="00677F5E" w:rsidP="001A1F0B">
      <w:pPr>
        <w:pStyle w:val="Heading2"/>
        <w:rPr>
          <w:iCs/>
          <w:lang w:val="en-GB"/>
        </w:rPr>
      </w:pPr>
      <w:r w:rsidRPr="001D74B9">
        <w:rPr>
          <w:iCs/>
          <w:lang w:val="en-GB"/>
        </w:rPr>
        <w:t>Social dialogue has evolved</w:t>
      </w:r>
      <w:r w:rsidR="00C55D9E" w:rsidRPr="001D74B9">
        <w:rPr>
          <w:iCs/>
          <w:lang w:val="en-GB"/>
        </w:rPr>
        <w:t>:</w:t>
      </w:r>
      <w:r w:rsidRPr="001D74B9">
        <w:rPr>
          <w:iCs/>
          <w:lang w:val="en-GB"/>
        </w:rPr>
        <w:t xml:space="preserve"> growing globalised and interconnected economies and production processes and the impact of trade are pushing towards increased transnational relations with multinational enterprises and global supply chains at different levels, which require a common and coordinated approach at European level.</w:t>
      </w:r>
    </w:p>
    <w:p w14:paraId="1929B6E6" w14:textId="77777777" w:rsidR="00677F5E" w:rsidRPr="001D74B9" w:rsidRDefault="00677F5E" w:rsidP="001A1F0B">
      <w:pPr>
        <w:pStyle w:val="Heading2"/>
        <w:numPr>
          <w:ilvl w:val="0"/>
          <w:numId w:val="0"/>
        </w:numPr>
        <w:ind w:left="567"/>
        <w:rPr>
          <w:lang w:val="en-GB"/>
        </w:rPr>
      </w:pPr>
    </w:p>
    <w:p w14:paraId="705A5996" w14:textId="77777777" w:rsidR="00677F5E" w:rsidRPr="001D74B9" w:rsidRDefault="007655E0" w:rsidP="001A1F0B">
      <w:pPr>
        <w:pStyle w:val="Heading2"/>
        <w:rPr>
          <w:lang w:val="en-GB"/>
        </w:rPr>
      </w:pPr>
      <w:r w:rsidRPr="001D74B9">
        <w:rPr>
          <w:lang w:val="en-GB"/>
        </w:rPr>
        <w:t>The EESC recogni</w:t>
      </w:r>
      <w:r w:rsidR="00B70505" w:rsidRPr="001D74B9">
        <w:rPr>
          <w:lang w:val="en-GB"/>
        </w:rPr>
        <w:t>s</w:t>
      </w:r>
      <w:r w:rsidRPr="001D74B9">
        <w:rPr>
          <w:lang w:val="en-GB"/>
        </w:rPr>
        <w:t>es that</w:t>
      </w:r>
      <w:r w:rsidR="00677F5E" w:rsidRPr="001D74B9">
        <w:rPr>
          <w:lang w:val="en-GB"/>
        </w:rPr>
        <w:t xml:space="preserve"> </w:t>
      </w:r>
      <w:r w:rsidR="00B70505" w:rsidRPr="001D74B9">
        <w:rPr>
          <w:lang w:val="en-GB"/>
        </w:rPr>
        <w:t xml:space="preserve">effective </w:t>
      </w:r>
      <w:r w:rsidR="00677F5E" w:rsidRPr="001D74B9">
        <w:rPr>
          <w:lang w:val="en-GB"/>
        </w:rPr>
        <w:t xml:space="preserve">social dialogue </w:t>
      </w:r>
      <w:r w:rsidR="00E50C62" w:rsidRPr="001D74B9">
        <w:rPr>
          <w:lang w:val="en-GB"/>
        </w:rPr>
        <w:t>must include</w:t>
      </w:r>
      <w:r w:rsidR="00677F5E" w:rsidRPr="001D74B9">
        <w:rPr>
          <w:lang w:val="en-GB"/>
        </w:rPr>
        <w:t xml:space="preserve">: representative and legitimate social partners with the knowledge, technical capacity and timely access to relevant information to participate; </w:t>
      </w:r>
      <w:r w:rsidR="00E50C62" w:rsidRPr="001D74B9">
        <w:rPr>
          <w:lang w:val="en-GB"/>
        </w:rPr>
        <w:t xml:space="preserve">the </w:t>
      </w:r>
      <w:r w:rsidR="00677F5E" w:rsidRPr="001D74B9">
        <w:rPr>
          <w:lang w:val="en-GB"/>
        </w:rPr>
        <w:t xml:space="preserve">political will and commitment to engage in social dialogue; respect for the fundamental rights of autonomy </w:t>
      </w:r>
      <w:r w:rsidR="00E50C62" w:rsidRPr="001D74B9">
        <w:rPr>
          <w:lang w:val="en-GB"/>
        </w:rPr>
        <w:t>for</w:t>
      </w:r>
      <w:r w:rsidR="00677F5E" w:rsidRPr="001D74B9">
        <w:rPr>
          <w:lang w:val="en-GB"/>
        </w:rPr>
        <w:t xml:space="preserve"> </w:t>
      </w:r>
      <w:r w:rsidR="00E50C62" w:rsidRPr="001D74B9">
        <w:rPr>
          <w:lang w:val="en-GB"/>
        </w:rPr>
        <w:t xml:space="preserve">the </w:t>
      </w:r>
      <w:r w:rsidR="00677F5E" w:rsidRPr="001D74B9">
        <w:rPr>
          <w:lang w:val="en-GB"/>
        </w:rPr>
        <w:t>social partners, freedom of association and collective bargaining</w:t>
      </w:r>
      <w:r w:rsidR="00E50C62" w:rsidRPr="001D74B9">
        <w:rPr>
          <w:lang w:val="en-GB"/>
        </w:rPr>
        <w:t xml:space="preserve">, </w:t>
      </w:r>
      <w:r w:rsidR="00677F5E" w:rsidRPr="001D74B9">
        <w:rPr>
          <w:lang w:val="en-GB"/>
        </w:rPr>
        <w:t>which remain at the core of industrial relations</w:t>
      </w:r>
      <w:r w:rsidR="00E50C62" w:rsidRPr="001D74B9">
        <w:rPr>
          <w:lang w:val="en-GB"/>
        </w:rPr>
        <w:t>,</w:t>
      </w:r>
      <w:r w:rsidR="00677F5E" w:rsidRPr="001D74B9">
        <w:rPr>
          <w:lang w:val="en-GB"/>
        </w:rPr>
        <w:t xml:space="preserve"> and an enabling legal and institutional framework to support social dialogue processes with </w:t>
      </w:r>
      <w:r w:rsidR="00E50C62" w:rsidRPr="001D74B9">
        <w:rPr>
          <w:lang w:val="en-GB"/>
        </w:rPr>
        <w:t>well-</w:t>
      </w:r>
      <w:r w:rsidR="00677F5E" w:rsidRPr="001D74B9">
        <w:rPr>
          <w:lang w:val="en-GB"/>
        </w:rPr>
        <w:t>functioning institutions.</w:t>
      </w:r>
    </w:p>
    <w:p w14:paraId="552BCCFF" w14:textId="77777777" w:rsidR="00677F5E" w:rsidRPr="001D74B9" w:rsidRDefault="00677F5E" w:rsidP="001A1F0B">
      <w:pPr>
        <w:pStyle w:val="Heading2"/>
        <w:numPr>
          <w:ilvl w:val="0"/>
          <w:numId w:val="0"/>
        </w:numPr>
        <w:ind w:left="567"/>
        <w:rPr>
          <w:lang w:val="en-GB"/>
        </w:rPr>
      </w:pPr>
    </w:p>
    <w:p w14:paraId="0C643612" w14:textId="77777777" w:rsidR="00677F5E" w:rsidRPr="001D74B9" w:rsidRDefault="00677F5E" w:rsidP="001A1F0B">
      <w:pPr>
        <w:pStyle w:val="Heading2"/>
        <w:rPr>
          <w:lang w:val="en-GB"/>
        </w:rPr>
      </w:pPr>
      <w:r w:rsidRPr="001D74B9">
        <w:rPr>
          <w:lang w:val="en-GB"/>
        </w:rPr>
        <w:t xml:space="preserve">European social dialogue is an inalienable component of the European social model and is enshrined in the Treaty, supported by EU legislation and recognised in the European Pillar of Social Rights. The EESC encourages </w:t>
      </w:r>
      <w:r w:rsidR="00E50C62" w:rsidRPr="001D74B9">
        <w:rPr>
          <w:lang w:val="en-GB"/>
        </w:rPr>
        <w:t xml:space="preserve">the </w:t>
      </w:r>
      <w:r w:rsidRPr="001D74B9">
        <w:rPr>
          <w:lang w:val="en-GB"/>
        </w:rPr>
        <w:t xml:space="preserve">European social partners to exploit all </w:t>
      </w:r>
      <w:r w:rsidR="00E50C62" w:rsidRPr="001D74B9">
        <w:rPr>
          <w:lang w:val="en-GB"/>
        </w:rPr>
        <w:t xml:space="preserve">of </w:t>
      </w:r>
      <w:r w:rsidRPr="001D74B9">
        <w:rPr>
          <w:lang w:val="en-GB"/>
        </w:rPr>
        <w:t xml:space="preserve">the </w:t>
      </w:r>
      <w:r w:rsidR="009C01A5" w:rsidRPr="001D74B9">
        <w:rPr>
          <w:lang w:val="en-GB"/>
        </w:rPr>
        <w:t>potentialities</w:t>
      </w:r>
      <w:r w:rsidRPr="001D74B9">
        <w:rPr>
          <w:lang w:val="en-GB"/>
        </w:rPr>
        <w:t xml:space="preserve"> the Treaty offers them to engage in negotiations to address </w:t>
      </w:r>
      <w:r w:rsidR="00C55D9E" w:rsidRPr="001D74B9">
        <w:rPr>
          <w:lang w:val="en-GB"/>
        </w:rPr>
        <w:t xml:space="preserve">the </w:t>
      </w:r>
      <w:r w:rsidRPr="001D74B9">
        <w:rPr>
          <w:lang w:val="en-GB"/>
        </w:rPr>
        <w:t xml:space="preserve">new topics and rapid changes in </w:t>
      </w:r>
      <w:r w:rsidR="00C55D9E" w:rsidRPr="001D74B9">
        <w:rPr>
          <w:lang w:val="en-GB"/>
        </w:rPr>
        <w:t xml:space="preserve">the </w:t>
      </w:r>
      <w:r w:rsidRPr="001D74B9">
        <w:rPr>
          <w:lang w:val="en-GB"/>
        </w:rPr>
        <w:t>labour market.</w:t>
      </w:r>
    </w:p>
    <w:p w14:paraId="7B7B056F" w14:textId="77777777" w:rsidR="00677F5E" w:rsidRPr="001D74B9" w:rsidRDefault="00677F5E" w:rsidP="001A1F0B">
      <w:pPr>
        <w:pStyle w:val="Heading2"/>
        <w:numPr>
          <w:ilvl w:val="0"/>
          <w:numId w:val="0"/>
        </w:numPr>
        <w:ind w:left="567"/>
        <w:rPr>
          <w:lang w:val="en-GB"/>
        </w:rPr>
      </w:pPr>
    </w:p>
    <w:p w14:paraId="398C7CAB" w14:textId="77777777" w:rsidR="00677F5E" w:rsidRPr="001D74B9" w:rsidRDefault="00677F5E" w:rsidP="00990D8F">
      <w:pPr>
        <w:pStyle w:val="Heading2"/>
        <w:rPr>
          <w:lang w:val="en-GB"/>
        </w:rPr>
      </w:pPr>
      <w:r w:rsidRPr="001D74B9">
        <w:rPr>
          <w:lang w:val="en-GB"/>
        </w:rPr>
        <w:t xml:space="preserve">The Action Plan to implement the EPSR will explore ways </w:t>
      </w:r>
      <w:r w:rsidR="00066B9E" w:rsidRPr="001D74B9">
        <w:rPr>
          <w:lang w:val="en-GB"/>
        </w:rPr>
        <w:t>of</w:t>
      </w:r>
      <w:r w:rsidRPr="001D74B9">
        <w:rPr>
          <w:lang w:val="en-GB"/>
        </w:rPr>
        <w:t xml:space="preserve"> strengthen</w:t>
      </w:r>
      <w:r w:rsidR="00066B9E" w:rsidRPr="001D74B9">
        <w:rPr>
          <w:lang w:val="en-GB"/>
        </w:rPr>
        <w:t>ing</w:t>
      </w:r>
      <w:r w:rsidRPr="001D74B9">
        <w:rPr>
          <w:lang w:val="en-GB"/>
        </w:rPr>
        <w:t xml:space="preserve"> social dialogue and collective bargaining. The involvement of </w:t>
      </w:r>
      <w:r w:rsidR="00066B9E" w:rsidRPr="001D74B9">
        <w:rPr>
          <w:lang w:val="en-GB"/>
        </w:rPr>
        <w:t xml:space="preserve">the </w:t>
      </w:r>
      <w:r w:rsidRPr="001D74B9">
        <w:rPr>
          <w:lang w:val="en-GB"/>
        </w:rPr>
        <w:t>social partners in the Semester process should be considered key to achiev</w:t>
      </w:r>
      <w:r w:rsidR="00066B9E" w:rsidRPr="001D74B9">
        <w:rPr>
          <w:lang w:val="en-GB"/>
        </w:rPr>
        <w:t>ing</w:t>
      </w:r>
      <w:r w:rsidRPr="001D74B9">
        <w:rPr>
          <w:lang w:val="en-GB"/>
        </w:rPr>
        <w:t xml:space="preserve"> effective results, while data show that</w:t>
      </w:r>
      <w:r w:rsidR="00066B9E" w:rsidRPr="001D74B9">
        <w:rPr>
          <w:lang w:val="en-GB"/>
        </w:rPr>
        <w:t>,</w:t>
      </w:r>
      <w:r w:rsidRPr="001D74B9">
        <w:rPr>
          <w:lang w:val="en-GB"/>
        </w:rPr>
        <w:t xml:space="preserve"> in some countries</w:t>
      </w:r>
      <w:r w:rsidR="00066B9E" w:rsidRPr="001D74B9">
        <w:rPr>
          <w:lang w:val="en-GB"/>
        </w:rPr>
        <w:t>,</w:t>
      </w:r>
      <w:r w:rsidRPr="001D74B9">
        <w:rPr>
          <w:lang w:val="en-GB"/>
        </w:rPr>
        <w:t xml:space="preserve"> </w:t>
      </w:r>
      <w:r w:rsidR="00066B9E" w:rsidRPr="001D74B9">
        <w:rPr>
          <w:lang w:val="en-GB"/>
        </w:rPr>
        <w:t>such involvement</w:t>
      </w:r>
      <w:r w:rsidRPr="001D74B9">
        <w:rPr>
          <w:lang w:val="en-GB"/>
        </w:rPr>
        <w:t xml:space="preserve"> is fragmented or lacking, despite direct CSRs from the E</w:t>
      </w:r>
      <w:r w:rsidR="00066B9E" w:rsidRPr="001D74B9">
        <w:rPr>
          <w:lang w:val="en-GB"/>
        </w:rPr>
        <w:t xml:space="preserve">uropean </w:t>
      </w:r>
      <w:r w:rsidRPr="001D74B9">
        <w:rPr>
          <w:lang w:val="en-GB"/>
        </w:rPr>
        <w:t>C</w:t>
      </w:r>
      <w:r w:rsidR="00066B9E" w:rsidRPr="001D74B9">
        <w:rPr>
          <w:lang w:val="en-GB"/>
        </w:rPr>
        <w:t>ommission</w:t>
      </w:r>
      <w:r w:rsidRPr="001D74B9">
        <w:rPr>
          <w:lang w:val="en-GB"/>
        </w:rPr>
        <w:t xml:space="preserve">. Considering the important role </w:t>
      </w:r>
      <w:r w:rsidR="00066B9E" w:rsidRPr="001D74B9">
        <w:rPr>
          <w:lang w:val="en-GB"/>
        </w:rPr>
        <w:t xml:space="preserve">that </w:t>
      </w:r>
      <w:r w:rsidRPr="001D74B9">
        <w:rPr>
          <w:lang w:val="en-GB"/>
        </w:rPr>
        <w:t xml:space="preserve">the EU Semester will gain </w:t>
      </w:r>
      <w:r w:rsidR="00066B9E" w:rsidRPr="001D74B9">
        <w:rPr>
          <w:lang w:val="en-GB"/>
        </w:rPr>
        <w:t>with</w:t>
      </w:r>
      <w:r w:rsidRPr="001D74B9">
        <w:rPr>
          <w:lang w:val="en-GB"/>
        </w:rPr>
        <w:t xml:space="preserve"> the implementation of the MFF 2021-2027 and the Next </w:t>
      </w:r>
      <w:r w:rsidR="00066B9E" w:rsidRPr="001D74B9">
        <w:rPr>
          <w:lang w:val="en-GB"/>
        </w:rPr>
        <w:t>G</w:t>
      </w:r>
      <w:r w:rsidRPr="001D74B9">
        <w:rPr>
          <w:lang w:val="en-GB"/>
        </w:rPr>
        <w:t xml:space="preserve">eneration EU programme, the EESC </w:t>
      </w:r>
      <w:r w:rsidR="00066B9E" w:rsidRPr="001D74B9">
        <w:rPr>
          <w:lang w:val="en-GB"/>
        </w:rPr>
        <w:t>calls for</w:t>
      </w:r>
      <w:r w:rsidRPr="001D74B9">
        <w:rPr>
          <w:lang w:val="en-GB"/>
        </w:rPr>
        <w:t xml:space="preserve"> the introduction of a mechanism </w:t>
      </w:r>
      <w:r w:rsidR="00066B9E" w:rsidRPr="001D74B9">
        <w:rPr>
          <w:lang w:val="en-GB"/>
        </w:rPr>
        <w:t>that</w:t>
      </w:r>
      <w:r w:rsidRPr="001D74B9">
        <w:rPr>
          <w:lang w:val="en-GB"/>
        </w:rPr>
        <w:t xml:space="preserve"> grants the social partners </w:t>
      </w:r>
      <w:r w:rsidR="00066B9E" w:rsidRPr="001D74B9">
        <w:rPr>
          <w:lang w:val="en-GB"/>
        </w:rPr>
        <w:t xml:space="preserve">the right </w:t>
      </w:r>
      <w:r w:rsidRPr="001D74B9">
        <w:rPr>
          <w:lang w:val="en-GB"/>
        </w:rPr>
        <w:t xml:space="preserve">to be consulted at both EU and national level. </w:t>
      </w:r>
    </w:p>
    <w:p w14:paraId="5D978403" w14:textId="77777777" w:rsidR="00152ABD" w:rsidRPr="001D74B9" w:rsidRDefault="00152ABD" w:rsidP="00C63CBC">
      <w:pPr>
        <w:rPr>
          <w:lang w:val="en-GB"/>
        </w:rPr>
      </w:pPr>
    </w:p>
    <w:p w14:paraId="18B04367" w14:textId="77777777" w:rsidR="00152ABD" w:rsidRPr="001D74B9" w:rsidRDefault="00152ABD">
      <w:pPr>
        <w:pStyle w:val="Heading2"/>
        <w:rPr>
          <w:lang w:val="en-GB"/>
        </w:rPr>
      </w:pPr>
      <w:r w:rsidRPr="001D74B9">
        <w:rPr>
          <w:lang w:val="en-GB"/>
        </w:rPr>
        <w:t>The EESC urges the Europe</w:t>
      </w:r>
      <w:r w:rsidR="00633E03" w:rsidRPr="001D74B9">
        <w:rPr>
          <w:lang w:val="en-GB"/>
        </w:rPr>
        <w:t>a</w:t>
      </w:r>
      <w:r w:rsidRPr="001D74B9">
        <w:rPr>
          <w:lang w:val="en-GB"/>
        </w:rPr>
        <w:t>n Commission, in consultation with the European</w:t>
      </w:r>
      <w:r w:rsidR="00B70505" w:rsidRPr="001D74B9">
        <w:rPr>
          <w:lang w:val="en-GB"/>
        </w:rPr>
        <w:t>-</w:t>
      </w:r>
      <w:r w:rsidRPr="001D74B9">
        <w:rPr>
          <w:lang w:val="en-GB"/>
        </w:rPr>
        <w:t>level social partners</w:t>
      </w:r>
      <w:r w:rsidR="00633E03" w:rsidRPr="001D74B9">
        <w:rPr>
          <w:lang w:val="en-GB"/>
        </w:rPr>
        <w:t>,</w:t>
      </w:r>
      <w:r w:rsidRPr="001D74B9">
        <w:rPr>
          <w:lang w:val="en-GB"/>
        </w:rPr>
        <w:t xml:space="preserve"> to provide, through European initiatives, clear and transparent criteria regarding the implementation of sectoral social partner agreements, as </w:t>
      </w:r>
      <w:r w:rsidR="00B70505" w:rsidRPr="001D74B9">
        <w:rPr>
          <w:lang w:val="en-GB"/>
        </w:rPr>
        <w:t>provided for</w:t>
      </w:r>
      <w:r w:rsidRPr="001D74B9">
        <w:rPr>
          <w:lang w:val="en-GB"/>
        </w:rPr>
        <w:t xml:space="preserve"> in Art</w:t>
      </w:r>
      <w:r w:rsidR="00B70505" w:rsidRPr="001D74B9">
        <w:rPr>
          <w:lang w:val="en-GB"/>
        </w:rPr>
        <w:t>icle</w:t>
      </w:r>
      <w:r w:rsidRPr="001D74B9">
        <w:rPr>
          <w:lang w:val="en-GB"/>
        </w:rPr>
        <w:t xml:space="preserve"> 155</w:t>
      </w:r>
      <w:r w:rsidR="00B70505" w:rsidRPr="001D74B9">
        <w:rPr>
          <w:lang w:val="en-GB"/>
        </w:rPr>
        <w:t>(</w:t>
      </w:r>
      <w:r w:rsidRPr="001D74B9">
        <w:rPr>
          <w:lang w:val="en-GB"/>
        </w:rPr>
        <w:t>2</w:t>
      </w:r>
      <w:r w:rsidR="00B70505" w:rsidRPr="001D74B9">
        <w:rPr>
          <w:lang w:val="en-GB"/>
        </w:rPr>
        <w:t>)</w:t>
      </w:r>
      <w:r w:rsidRPr="001D74B9">
        <w:rPr>
          <w:lang w:val="en-GB"/>
        </w:rPr>
        <w:t xml:space="preserve"> TFEU.</w:t>
      </w:r>
    </w:p>
    <w:p w14:paraId="3D1697DE" w14:textId="77777777" w:rsidR="00677F5E" w:rsidRPr="001D74B9" w:rsidRDefault="00677F5E" w:rsidP="001A1F0B">
      <w:pPr>
        <w:pStyle w:val="Heading2"/>
        <w:numPr>
          <w:ilvl w:val="0"/>
          <w:numId w:val="0"/>
        </w:numPr>
        <w:ind w:left="567"/>
        <w:rPr>
          <w:lang w:val="en-GB"/>
        </w:rPr>
      </w:pPr>
    </w:p>
    <w:p w14:paraId="26CCE422" w14:textId="77777777" w:rsidR="00677F5E" w:rsidRPr="001D74B9" w:rsidRDefault="00066B9E" w:rsidP="001A1F0B">
      <w:pPr>
        <w:pStyle w:val="Heading2"/>
        <w:rPr>
          <w:lang w:val="en-GB"/>
        </w:rPr>
      </w:pPr>
      <w:r w:rsidRPr="001D74B9">
        <w:rPr>
          <w:lang w:val="en-GB"/>
        </w:rPr>
        <w:t>The l</w:t>
      </w:r>
      <w:r w:rsidR="00677F5E" w:rsidRPr="001D74B9">
        <w:rPr>
          <w:lang w:val="en-GB"/>
        </w:rPr>
        <w:t xml:space="preserve">essons learnt from previous </w:t>
      </w:r>
      <w:r w:rsidR="00AE36BD" w:rsidRPr="001D74B9">
        <w:rPr>
          <w:lang w:val="en-GB"/>
        </w:rPr>
        <w:t>cris</w:t>
      </w:r>
      <w:r w:rsidR="00C55D9E" w:rsidRPr="001D74B9">
        <w:rPr>
          <w:lang w:val="en-GB"/>
        </w:rPr>
        <w:t>e</w:t>
      </w:r>
      <w:r w:rsidR="00AE36BD" w:rsidRPr="001D74B9">
        <w:rPr>
          <w:lang w:val="en-GB"/>
        </w:rPr>
        <w:t>s are that</w:t>
      </w:r>
      <w:r w:rsidR="00677F5E" w:rsidRPr="001D74B9">
        <w:rPr>
          <w:lang w:val="en-GB"/>
        </w:rPr>
        <w:t xml:space="preserve">: countries with well-established social dialogue institutions and industrial relations systems are more likely to formulate rapid and effective tripartite responses. </w:t>
      </w:r>
      <w:r w:rsidRPr="001D74B9">
        <w:rPr>
          <w:lang w:val="en-GB"/>
        </w:rPr>
        <w:t>The p</w:t>
      </w:r>
      <w:r w:rsidR="00677F5E" w:rsidRPr="001D74B9">
        <w:rPr>
          <w:lang w:val="en-GB"/>
        </w:rPr>
        <w:t xml:space="preserve">rompt </w:t>
      </w:r>
      <w:r w:rsidR="00C72D0C" w:rsidRPr="001D74B9">
        <w:rPr>
          <w:lang w:val="en-GB"/>
        </w:rPr>
        <w:t xml:space="preserve">and effective </w:t>
      </w:r>
      <w:r w:rsidR="00677F5E" w:rsidRPr="001D74B9">
        <w:rPr>
          <w:lang w:val="en-GB"/>
        </w:rPr>
        <w:t xml:space="preserve">involvement of </w:t>
      </w:r>
      <w:r w:rsidR="00C55D9E" w:rsidRPr="001D74B9">
        <w:rPr>
          <w:lang w:val="en-GB"/>
        </w:rPr>
        <w:t xml:space="preserve">the </w:t>
      </w:r>
      <w:r w:rsidR="00677F5E" w:rsidRPr="001D74B9">
        <w:rPr>
          <w:lang w:val="en-GB"/>
        </w:rPr>
        <w:t xml:space="preserve">social partners and the support </w:t>
      </w:r>
      <w:r w:rsidR="001224E7" w:rsidRPr="001D74B9">
        <w:rPr>
          <w:lang w:val="en-GB"/>
        </w:rPr>
        <w:t>of</w:t>
      </w:r>
      <w:r w:rsidR="00677F5E" w:rsidRPr="001D74B9">
        <w:rPr>
          <w:lang w:val="en-GB"/>
        </w:rPr>
        <w:t xml:space="preserve"> </w:t>
      </w:r>
      <w:r w:rsidR="001224E7" w:rsidRPr="001D74B9">
        <w:rPr>
          <w:lang w:val="en-GB"/>
        </w:rPr>
        <w:t>g</w:t>
      </w:r>
      <w:r w:rsidR="00677F5E" w:rsidRPr="001D74B9">
        <w:rPr>
          <w:lang w:val="en-GB"/>
        </w:rPr>
        <w:t xml:space="preserve">overnments are key factors </w:t>
      </w:r>
      <w:r w:rsidR="00C55D9E" w:rsidRPr="001D74B9">
        <w:rPr>
          <w:lang w:val="en-GB"/>
        </w:rPr>
        <w:t>in</w:t>
      </w:r>
      <w:r w:rsidR="00677F5E" w:rsidRPr="001D74B9">
        <w:rPr>
          <w:lang w:val="en-GB"/>
        </w:rPr>
        <w:t xml:space="preserve"> address</w:t>
      </w:r>
      <w:r w:rsidR="00C55D9E" w:rsidRPr="001D74B9">
        <w:rPr>
          <w:lang w:val="en-GB"/>
        </w:rPr>
        <w:t>ing</w:t>
      </w:r>
      <w:r w:rsidR="00677F5E" w:rsidRPr="001D74B9">
        <w:rPr>
          <w:lang w:val="en-GB"/>
        </w:rPr>
        <w:t xml:space="preserve"> the immediate consequences of the crisis, </w:t>
      </w:r>
      <w:r w:rsidR="00C55D9E" w:rsidRPr="001D74B9">
        <w:rPr>
          <w:lang w:val="en-GB"/>
        </w:rPr>
        <w:t xml:space="preserve">in addition </w:t>
      </w:r>
      <w:r w:rsidR="00C55D9E" w:rsidRPr="001D74B9">
        <w:rPr>
          <w:lang w:val="en-GB"/>
        </w:rPr>
        <w:lastRenderedPageBreak/>
        <w:t>to</w:t>
      </w:r>
      <w:r w:rsidR="00677F5E" w:rsidRPr="001D74B9">
        <w:rPr>
          <w:lang w:val="en-GB"/>
        </w:rPr>
        <w:t xml:space="preserve"> longer-term recovery</w:t>
      </w:r>
      <w:r w:rsidR="001224E7" w:rsidRPr="001D74B9">
        <w:rPr>
          <w:lang w:val="en-GB"/>
        </w:rPr>
        <w:t>-</w:t>
      </w:r>
      <w:r w:rsidR="00677F5E" w:rsidRPr="001D74B9">
        <w:rPr>
          <w:lang w:val="en-GB"/>
        </w:rPr>
        <w:t>planning to protect and promote employment through sustainable enterprises and social investments.</w:t>
      </w:r>
    </w:p>
    <w:p w14:paraId="1D58C6F1" w14:textId="77777777" w:rsidR="00677F5E" w:rsidRPr="001D74B9" w:rsidRDefault="00677F5E" w:rsidP="001A1F0B">
      <w:pPr>
        <w:pStyle w:val="Heading2"/>
        <w:numPr>
          <w:ilvl w:val="0"/>
          <w:numId w:val="0"/>
        </w:numPr>
        <w:ind w:left="567"/>
        <w:rPr>
          <w:lang w:val="en-GB"/>
        </w:rPr>
      </w:pPr>
    </w:p>
    <w:p w14:paraId="71D4D62D" w14:textId="77777777" w:rsidR="00677F5E" w:rsidRPr="001D74B9" w:rsidRDefault="00677F5E" w:rsidP="001A1F0B">
      <w:pPr>
        <w:pStyle w:val="Heading2"/>
        <w:rPr>
          <w:lang w:val="en-GB"/>
        </w:rPr>
      </w:pPr>
      <w:r w:rsidRPr="001D74B9">
        <w:rPr>
          <w:lang w:val="en-GB"/>
        </w:rPr>
        <w:t xml:space="preserve">Collective bargaining coverage and processes at all levels should be prioritised. Inclusiveness in </w:t>
      </w:r>
      <w:r w:rsidR="00AE36BD" w:rsidRPr="001D74B9">
        <w:rPr>
          <w:lang w:val="en-GB"/>
        </w:rPr>
        <w:t xml:space="preserve">the </w:t>
      </w:r>
      <w:r w:rsidRPr="001D74B9">
        <w:rPr>
          <w:lang w:val="en-GB"/>
        </w:rPr>
        <w:t xml:space="preserve">social protection systems of vulnerable group of workers and citizens should be a priority </w:t>
      </w:r>
      <w:r w:rsidR="001224E7" w:rsidRPr="001D74B9">
        <w:rPr>
          <w:lang w:val="en-GB"/>
        </w:rPr>
        <w:t>for</w:t>
      </w:r>
      <w:r w:rsidRPr="001D74B9">
        <w:rPr>
          <w:lang w:val="en-GB"/>
        </w:rPr>
        <w:t xml:space="preserve"> public policy.</w:t>
      </w:r>
    </w:p>
    <w:p w14:paraId="0D297942" w14:textId="77777777" w:rsidR="00677F5E" w:rsidRPr="001D74B9" w:rsidRDefault="00677F5E" w:rsidP="001A1F0B">
      <w:pPr>
        <w:pStyle w:val="Heading2"/>
        <w:numPr>
          <w:ilvl w:val="0"/>
          <w:numId w:val="0"/>
        </w:numPr>
        <w:ind w:left="567"/>
        <w:rPr>
          <w:lang w:val="en-GB"/>
        </w:rPr>
      </w:pPr>
    </w:p>
    <w:p w14:paraId="0B1D84AA" w14:textId="77777777" w:rsidR="00677F5E" w:rsidRPr="001D74B9" w:rsidRDefault="00677F5E" w:rsidP="001A1F0B">
      <w:pPr>
        <w:pStyle w:val="Heading2"/>
        <w:rPr>
          <w:lang w:val="en-GB"/>
        </w:rPr>
      </w:pPr>
      <w:r w:rsidRPr="001D74B9">
        <w:rPr>
          <w:lang w:val="en-GB"/>
        </w:rPr>
        <w:t xml:space="preserve">Sound corporate governance based on social dialogue, collective bargaining and respect </w:t>
      </w:r>
      <w:r w:rsidR="001224E7" w:rsidRPr="001D74B9">
        <w:rPr>
          <w:lang w:val="en-GB"/>
        </w:rPr>
        <w:t>for</w:t>
      </w:r>
      <w:r w:rsidRPr="001D74B9">
        <w:rPr>
          <w:lang w:val="en-GB"/>
        </w:rPr>
        <w:t xml:space="preserve"> workers</w:t>
      </w:r>
      <w:r w:rsidR="00C55D9E" w:rsidRPr="001D74B9">
        <w:rPr>
          <w:lang w:val="en-GB"/>
        </w:rPr>
        <w:t>'</w:t>
      </w:r>
      <w:r w:rsidRPr="001D74B9">
        <w:rPr>
          <w:lang w:val="en-GB"/>
        </w:rPr>
        <w:t xml:space="preserve"> </w:t>
      </w:r>
      <w:r w:rsidR="00C55D9E" w:rsidRPr="001D74B9">
        <w:rPr>
          <w:lang w:val="en-GB"/>
        </w:rPr>
        <w:t xml:space="preserve">rights to </w:t>
      </w:r>
      <w:r w:rsidRPr="001D74B9">
        <w:rPr>
          <w:lang w:val="en-GB"/>
        </w:rPr>
        <w:t xml:space="preserve">information, consultation and participation can </w:t>
      </w:r>
      <w:r w:rsidR="001224E7" w:rsidRPr="001D74B9">
        <w:rPr>
          <w:lang w:val="en-GB"/>
        </w:rPr>
        <w:t>make it possible to achieve</w:t>
      </w:r>
      <w:r w:rsidRPr="001D74B9">
        <w:rPr>
          <w:lang w:val="en-GB"/>
        </w:rPr>
        <w:t xml:space="preserve"> positive economic targets</w:t>
      </w:r>
      <w:r w:rsidR="001224E7" w:rsidRPr="001D74B9">
        <w:rPr>
          <w:lang w:val="en-GB"/>
        </w:rPr>
        <w:t>,</w:t>
      </w:r>
      <w:r w:rsidRPr="001D74B9">
        <w:rPr>
          <w:lang w:val="en-GB"/>
        </w:rPr>
        <w:t xml:space="preserve"> together with social and environmental goals. </w:t>
      </w:r>
      <w:r w:rsidR="008237B7" w:rsidRPr="001D74B9">
        <w:rPr>
          <w:lang w:val="en-GB"/>
        </w:rPr>
        <w:t>Facilitating</w:t>
      </w:r>
      <w:r w:rsidR="005B482D" w:rsidRPr="001D74B9">
        <w:rPr>
          <w:lang w:val="en-GB"/>
        </w:rPr>
        <w:t xml:space="preserve"> </w:t>
      </w:r>
      <w:r w:rsidR="00680F27" w:rsidRPr="001D74B9">
        <w:rPr>
          <w:lang w:val="en-GB"/>
        </w:rPr>
        <w:t xml:space="preserve">the taking of </w:t>
      </w:r>
      <w:r w:rsidR="00847F74" w:rsidRPr="001D74B9">
        <w:rPr>
          <w:lang w:val="en-GB"/>
        </w:rPr>
        <w:t>informed management decisions in matters of direct interest to workers contribut</w:t>
      </w:r>
      <w:r w:rsidR="005B482D" w:rsidRPr="001D74B9">
        <w:rPr>
          <w:lang w:val="en-GB"/>
        </w:rPr>
        <w:t>es</w:t>
      </w:r>
      <w:r w:rsidR="00847F74" w:rsidRPr="001D74B9">
        <w:rPr>
          <w:lang w:val="en-GB"/>
        </w:rPr>
        <w:t xml:space="preserve"> to a sustainable and fairer business model. This helps to promote the European social model, which is an engine for the competitiveness of European companies.</w:t>
      </w:r>
    </w:p>
    <w:p w14:paraId="06771D44" w14:textId="77777777" w:rsidR="00677F5E" w:rsidRPr="001D74B9" w:rsidRDefault="00677F5E" w:rsidP="001A1F0B">
      <w:pPr>
        <w:pStyle w:val="Heading2"/>
        <w:numPr>
          <w:ilvl w:val="0"/>
          <w:numId w:val="0"/>
        </w:numPr>
        <w:ind w:left="567"/>
        <w:rPr>
          <w:lang w:val="en-GB"/>
        </w:rPr>
      </w:pPr>
    </w:p>
    <w:p w14:paraId="22AA7353" w14:textId="77777777" w:rsidR="00677F5E" w:rsidRPr="001D74B9" w:rsidRDefault="00677F5E" w:rsidP="001A1F0B">
      <w:pPr>
        <w:pStyle w:val="Heading2"/>
        <w:rPr>
          <w:iCs/>
          <w:lang w:val="en-GB"/>
        </w:rPr>
      </w:pPr>
      <w:r w:rsidRPr="001D74B9">
        <w:rPr>
          <w:iCs/>
          <w:lang w:val="en-GB"/>
        </w:rPr>
        <w:t>Globali</w:t>
      </w:r>
      <w:r w:rsidR="00AE1491" w:rsidRPr="001D74B9">
        <w:rPr>
          <w:iCs/>
          <w:lang w:val="en-GB"/>
        </w:rPr>
        <w:t>s</w:t>
      </w:r>
      <w:r w:rsidRPr="001D74B9">
        <w:rPr>
          <w:iCs/>
          <w:lang w:val="en-GB"/>
        </w:rPr>
        <w:t xml:space="preserve">ation and growing transnational production processes have changed how flows of information around the company are structured. Workers’ information, consultation and participation rights are recognised in EU legislation and are fundamental for effective social dialogue; </w:t>
      </w:r>
      <w:r w:rsidR="00AE36BD" w:rsidRPr="001D74B9">
        <w:rPr>
          <w:iCs/>
          <w:lang w:val="en-GB"/>
        </w:rPr>
        <w:t xml:space="preserve">the </w:t>
      </w:r>
      <w:r w:rsidRPr="001D74B9">
        <w:rPr>
          <w:iCs/>
          <w:lang w:val="en-GB"/>
        </w:rPr>
        <w:t xml:space="preserve">quality and effectiveness of EWCs in transnational restructuring processes have to be improved; </w:t>
      </w:r>
      <w:r w:rsidR="00AE36BD" w:rsidRPr="001D74B9">
        <w:rPr>
          <w:iCs/>
          <w:lang w:val="en-GB"/>
        </w:rPr>
        <w:t xml:space="preserve">shortcomings need to be remedied </w:t>
      </w:r>
      <w:r w:rsidRPr="001D74B9">
        <w:rPr>
          <w:iCs/>
          <w:lang w:val="en-GB"/>
        </w:rPr>
        <w:t xml:space="preserve">to strengthen democracy at work and enforcement measures </w:t>
      </w:r>
      <w:r w:rsidR="00AE36BD" w:rsidRPr="001D74B9">
        <w:rPr>
          <w:iCs/>
          <w:lang w:val="en-GB"/>
        </w:rPr>
        <w:t xml:space="preserve">must be put in place, </w:t>
      </w:r>
      <w:r w:rsidRPr="001D74B9">
        <w:rPr>
          <w:iCs/>
          <w:lang w:val="en-GB"/>
        </w:rPr>
        <w:t>together with effective and proportionate sanctions. The EESC has already called for a harmoni</w:t>
      </w:r>
      <w:r w:rsidR="00AE36BD" w:rsidRPr="001D74B9">
        <w:rPr>
          <w:iCs/>
          <w:lang w:val="en-GB"/>
        </w:rPr>
        <w:t>s</w:t>
      </w:r>
      <w:r w:rsidRPr="001D74B9">
        <w:rPr>
          <w:iCs/>
          <w:lang w:val="en-GB"/>
        </w:rPr>
        <w:t xml:space="preserve">ed framework at </w:t>
      </w:r>
      <w:r w:rsidR="00AE36BD" w:rsidRPr="001D74B9">
        <w:rPr>
          <w:iCs/>
          <w:lang w:val="en-GB"/>
        </w:rPr>
        <w:t xml:space="preserve">the </w:t>
      </w:r>
      <w:r w:rsidRPr="001D74B9">
        <w:rPr>
          <w:iCs/>
          <w:lang w:val="en-GB"/>
        </w:rPr>
        <w:t xml:space="preserve">EU level regarding workers’ board-level participation, </w:t>
      </w:r>
      <w:r w:rsidR="00AE36BD" w:rsidRPr="001D74B9">
        <w:rPr>
          <w:iCs/>
          <w:lang w:val="en-GB"/>
        </w:rPr>
        <w:t xml:space="preserve">while </w:t>
      </w:r>
      <w:r w:rsidRPr="001D74B9">
        <w:rPr>
          <w:iCs/>
          <w:lang w:val="en-GB"/>
        </w:rPr>
        <w:t>respecting national and enterprise-level differences</w:t>
      </w:r>
      <w:r w:rsidR="00AE36BD" w:rsidRPr="001D74B9">
        <w:rPr>
          <w:iCs/>
          <w:lang w:val="en-GB"/>
        </w:rPr>
        <w:t>. U</w:t>
      </w:r>
      <w:r w:rsidRPr="001D74B9">
        <w:rPr>
          <w:iCs/>
          <w:lang w:val="en-GB"/>
        </w:rPr>
        <w:t>nfortunately</w:t>
      </w:r>
      <w:r w:rsidR="00AE36BD" w:rsidRPr="001D74B9">
        <w:rPr>
          <w:iCs/>
          <w:lang w:val="en-GB"/>
        </w:rPr>
        <w:t>,</w:t>
      </w:r>
      <w:r w:rsidRPr="001D74B9">
        <w:rPr>
          <w:iCs/>
          <w:lang w:val="en-GB"/>
        </w:rPr>
        <w:t xml:space="preserve"> the European Company Law</w:t>
      </w:r>
      <w:r w:rsidR="00AE36BD" w:rsidRPr="001D74B9">
        <w:rPr>
          <w:iCs/>
          <w:lang w:val="en-GB"/>
        </w:rPr>
        <w:t xml:space="preserve"> that has been approved</w:t>
      </w:r>
      <w:r w:rsidRPr="001D74B9">
        <w:rPr>
          <w:iCs/>
          <w:lang w:val="en-GB"/>
        </w:rPr>
        <w:t xml:space="preserve"> failed to address this proposal</w:t>
      </w:r>
      <w:r w:rsidR="0051222E" w:rsidRPr="001D74B9">
        <w:rPr>
          <w:iCs/>
          <w:lang w:val="en-GB"/>
        </w:rPr>
        <w:t>.</w:t>
      </w:r>
    </w:p>
    <w:p w14:paraId="001704C8" w14:textId="77777777" w:rsidR="00677F5E" w:rsidRPr="001D74B9" w:rsidRDefault="00677F5E" w:rsidP="001A1F0B">
      <w:pPr>
        <w:pStyle w:val="Heading2"/>
        <w:numPr>
          <w:ilvl w:val="0"/>
          <w:numId w:val="0"/>
        </w:numPr>
        <w:ind w:left="567"/>
        <w:rPr>
          <w:i/>
          <w:iCs/>
          <w:lang w:val="en-GB"/>
        </w:rPr>
      </w:pPr>
    </w:p>
    <w:p w14:paraId="0E1F2707" w14:textId="77777777" w:rsidR="00677F5E" w:rsidRPr="001D74B9" w:rsidRDefault="00677F5E" w:rsidP="00F9274A">
      <w:pPr>
        <w:pStyle w:val="Heading2"/>
        <w:rPr>
          <w:lang w:val="en-GB"/>
        </w:rPr>
      </w:pPr>
      <w:r w:rsidRPr="001D74B9">
        <w:rPr>
          <w:lang w:val="en-GB"/>
        </w:rPr>
        <w:t xml:space="preserve">The EESC </w:t>
      </w:r>
      <w:r w:rsidR="007756EA" w:rsidRPr="001D74B9">
        <w:rPr>
          <w:lang w:val="en-GB"/>
        </w:rPr>
        <w:t>e</w:t>
      </w:r>
      <w:r w:rsidR="00EE1112" w:rsidRPr="001D74B9">
        <w:rPr>
          <w:lang w:val="en-GB"/>
        </w:rPr>
        <w:t>ncourages f</w:t>
      </w:r>
      <w:r w:rsidRPr="001D74B9">
        <w:rPr>
          <w:lang w:val="en-GB"/>
        </w:rPr>
        <w:t xml:space="preserve">lexible, </w:t>
      </w:r>
      <w:r w:rsidR="00AE36BD" w:rsidRPr="001D74B9">
        <w:rPr>
          <w:lang w:val="en-GB"/>
        </w:rPr>
        <w:t>goal-oriented</w:t>
      </w:r>
      <w:r w:rsidRPr="001D74B9">
        <w:rPr>
          <w:lang w:val="en-GB"/>
        </w:rPr>
        <w:t xml:space="preserve"> solutions based on negotiations between </w:t>
      </w:r>
      <w:r w:rsidR="0022130E" w:rsidRPr="001D74B9">
        <w:rPr>
          <w:lang w:val="en-GB"/>
        </w:rPr>
        <w:t>employers’</w:t>
      </w:r>
      <w:r w:rsidRPr="001D74B9">
        <w:rPr>
          <w:lang w:val="en-GB"/>
        </w:rPr>
        <w:t xml:space="preserve"> and </w:t>
      </w:r>
      <w:r w:rsidR="00713ED8" w:rsidRPr="001D74B9">
        <w:rPr>
          <w:lang w:val="en-GB"/>
        </w:rPr>
        <w:t>workers</w:t>
      </w:r>
      <w:r w:rsidR="00633E03" w:rsidRPr="001D74B9">
        <w:rPr>
          <w:lang w:val="en-GB"/>
        </w:rPr>
        <w:t>'</w:t>
      </w:r>
      <w:r w:rsidR="00713ED8" w:rsidRPr="001D74B9">
        <w:rPr>
          <w:lang w:val="en-GB"/>
        </w:rPr>
        <w:t xml:space="preserve"> representatives</w:t>
      </w:r>
      <w:r w:rsidRPr="001D74B9">
        <w:rPr>
          <w:lang w:val="en-GB"/>
        </w:rPr>
        <w:t xml:space="preserve"> at the appropriate level to </w:t>
      </w:r>
      <w:r w:rsidR="005D1664" w:rsidRPr="001D74B9">
        <w:rPr>
          <w:lang w:val="en-GB"/>
        </w:rPr>
        <w:t>determine the specific arrangements</w:t>
      </w:r>
      <w:r w:rsidRPr="001D74B9">
        <w:rPr>
          <w:lang w:val="en-GB"/>
        </w:rPr>
        <w:t xml:space="preserve"> for information, consultation and participation should be promoted, while ensuring a level playing field and adequate minimum protection.</w:t>
      </w:r>
    </w:p>
    <w:p w14:paraId="5C28FE20" w14:textId="77777777" w:rsidR="00677F5E" w:rsidRPr="001D74B9" w:rsidRDefault="00677F5E" w:rsidP="001A1F0B">
      <w:pPr>
        <w:pStyle w:val="Heading2"/>
        <w:numPr>
          <w:ilvl w:val="0"/>
          <w:numId w:val="0"/>
        </w:numPr>
        <w:ind w:left="567"/>
        <w:rPr>
          <w:lang w:val="en-GB"/>
        </w:rPr>
      </w:pPr>
    </w:p>
    <w:p w14:paraId="2BA9FD2B" w14:textId="77777777" w:rsidR="00A07D67" w:rsidRPr="001D74B9" w:rsidRDefault="00777CAA" w:rsidP="001A1F0B">
      <w:pPr>
        <w:pStyle w:val="Heading2"/>
        <w:rPr>
          <w:iCs/>
          <w:lang w:val="en-GB"/>
        </w:rPr>
      </w:pPr>
      <w:r w:rsidRPr="001D74B9">
        <w:rPr>
          <w:lang w:val="en-GB"/>
        </w:rPr>
        <w:t xml:space="preserve">The EESC calls for action at European and national level to ensure respect for the right to information and consultation in restructuring processes resulting from the </w:t>
      </w:r>
      <w:r w:rsidR="005D1664" w:rsidRPr="001D74B9">
        <w:rPr>
          <w:iCs/>
          <w:lang w:val="en-GB"/>
        </w:rPr>
        <w:t>COVID</w:t>
      </w:r>
      <w:r w:rsidR="00677F5E" w:rsidRPr="001D74B9">
        <w:rPr>
          <w:iCs/>
          <w:lang w:val="en-GB"/>
        </w:rPr>
        <w:t>-19</w:t>
      </w:r>
      <w:r w:rsidR="00A07D67" w:rsidRPr="001D74B9">
        <w:rPr>
          <w:iCs/>
          <w:lang w:val="en-GB"/>
        </w:rPr>
        <w:t xml:space="preserve"> </w:t>
      </w:r>
      <w:r w:rsidRPr="001D74B9">
        <w:rPr>
          <w:iCs/>
          <w:lang w:val="en-GB"/>
        </w:rPr>
        <w:t>crisis.</w:t>
      </w:r>
    </w:p>
    <w:p w14:paraId="33621F55" w14:textId="77777777" w:rsidR="00A07D67" w:rsidRPr="001D74B9" w:rsidRDefault="00A07D67" w:rsidP="00C63CBC">
      <w:pPr>
        <w:rPr>
          <w:lang w:val="en-GB"/>
        </w:rPr>
      </w:pPr>
    </w:p>
    <w:p w14:paraId="5658C902" w14:textId="77777777" w:rsidR="00011D33" w:rsidRPr="001D74B9" w:rsidRDefault="000B75E4" w:rsidP="001A1F0B">
      <w:pPr>
        <w:pStyle w:val="Heading2"/>
        <w:rPr>
          <w:iCs/>
          <w:lang w:val="en-GB"/>
        </w:rPr>
      </w:pPr>
      <w:r w:rsidRPr="001D74B9">
        <w:rPr>
          <w:lang w:val="en-GB"/>
        </w:rPr>
        <w:t>In the management of the post-pandemic crisis, the EESC strongly recommends: (i) the proper</w:t>
      </w:r>
      <w:r w:rsidR="00777CAA" w:rsidRPr="001D74B9">
        <w:rPr>
          <w:iCs/>
          <w:lang w:val="en-GB"/>
        </w:rPr>
        <w:t xml:space="preserve"> </w:t>
      </w:r>
      <w:r w:rsidR="00677F5E" w:rsidRPr="001D74B9">
        <w:rPr>
          <w:iCs/>
          <w:lang w:val="en-GB"/>
        </w:rPr>
        <w:t xml:space="preserve">involvement </w:t>
      </w:r>
      <w:r w:rsidRPr="001D74B9">
        <w:rPr>
          <w:lang w:val="en-GB"/>
        </w:rPr>
        <w:t xml:space="preserve">of </w:t>
      </w:r>
      <w:r w:rsidR="008237B7" w:rsidRPr="001D74B9">
        <w:rPr>
          <w:lang w:val="en-GB"/>
        </w:rPr>
        <w:t xml:space="preserve">the </w:t>
      </w:r>
      <w:r w:rsidRPr="001D74B9">
        <w:rPr>
          <w:lang w:val="en-GB"/>
        </w:rPr>
        <w:t xml:space="preserve">social partners </w:t>
      </w:r>
      <w:r w:rsidR="00677F5E" w:rsidRPr="001D74B9">
        <w:rPr>
          <w:iCs/>
          <w:lang w:val="en-GB"/>
        </w:rPr>
        <w:t xml:space="preserve">in </w:t>
      </w:r>
      <w:r w:rsidRPr="001D74B9">
        <w:rPr>
          <w:iCs/>
          <w:lang w:val="en-GB"/>
        </w:rPr>
        <w:t xml:space="preserve">the </w:t>
      </w:r>
      <w:r w:rsidR="00677F5E" w:rsidRPr="001D74B9">
        <w:rPr>
          <w:iCs/>
          <w:lang w:val="en-GB"/>
        </w:rPr>
        <w:t xml:space="preserve">designing </w:t>
      </w:r>
      <w:r w:rsidR="0022069C" w:rsidRPr="001D74B9">
        <w:rPr>
          <w:lang w:val="en-GB"/>
        </w:rPr>
        <w:t>and implementation of</w:t>
      </w:r>
      <w:r w:rsidR="0022069C" w:rsidRPr="001D74B9">
        <w:rPr>
          <w:iCs/>
          <w:lang w:val="en-GB"/>
        </w:rPr>
        <w:t xml:space="preserve"> </w:t>
      </w:r>
      <w:r w:rsidR="00677F5E" w:rsidRPr="001D74B9">
        <w:rPr>
          <w:iCs/>
          <w:lang w:val="en-GB"/>
        </w:rPr>
        <w:t xml:space="preserve">national recovery plans; </w:t>
      </w:r>
      <w:r w:rsidR="0022069C" w:rsidRPr="001D74B9">
        <w:rPr>
          <w:iCs/>
          <w:lang w:val="en-GB"/>
        </w:rPr>
        <w:t xml:space="preserve">(ii) </w:t>
      </w:r>
      <w:r w:rsidR="00677F5E" w:rsidRPr="001D74B9">
        <w:rPr>
          <w:iCs/>
          <w:lang w:val="en-GB"/>
        </w:rPr>
        <w:t xml:space="preserve">better </w:t>
      </w:r>
      <w:r w:rsidR="00517F6A" w:rsidRPr="001D74B9">
        <w:rPr>
          <w:iCs/>
          <w:lang w:val="en-GB"/>
        </w:rPr>
        <w:t>cooperation</w:t>
      </w:r>
      <w:r w:rsidR="00677F5E" w:rsidRPr="001D74B9">
        <w:rPr>
          <w:iCs/>
          <w:lang w:val="en-GB"/>
        </w:rPr>
        <w:t xml:space="preserve"> </w:t>
      </w:r>
      <w:r w:rsidR="007B4FE9" w:rsidRPr="001D74B9">
        <w:rPr>
          <w:iCs/>
          <w:lang w:val="en-GB"/>
        </w:rPr>
        <w:t xml:space="preserve">between </w:t>
      </w:r>
      <w:r w:rsidR="00633E03" w:rsidRPr="001D74B9">
        <w:rPr>
          <w:iCs/>
          <w:lang w:val="en-GB"/>
        </w:rPr>
        <w:t xml:space="preserve">the </w:t>
      </w:r>
      <w:r w:rsidR="007B4FE9" w:rsidRPr="001D74B9">
        <w:rPr>
          <w:lang w:val="en-GB"/>
        </w:rPr>
        <w:t>social partners and</w:t>
      </w:r>
      <w:r w:rsidR="00677F5E" w:rsidRPr="001D74B9">
        <w:rPr>
          <w:iCs/>
          <w:lang w:val="en-GB"/>
        </w:rPr>
        <w:t xml:space="preserve"> the E</w:t>
      </w:r>
      <w:r w:rsidR="005D1664" w:rsidRPr="001D74B9">
        <w:rPr>
          <w:iCs/>
          <w:lang w:val="en-GB"/>
        </w:rPr>
        <w:t xml:space="preserve">uropean </w:t>
      </w:r>
      <w:r w:rsidR="00677F5E" w:rsidRPr="001D74B9">
        <w:rPr>
          <w:iCs/>
          <w:lang w:val="en-GB"/>
        </w:rPr>
        <w:t>C</w:t>
      </w:r>
      <w:r w:rsidR="005D1664" w:rsidRPr="001D74B9">
        <w:rPr>
          <w:iCs/>
          <w:lang w:val="en-GB"/>
        </w:rPr>
        <w:t>ommission</w:t>
      </w:r>
      <w:r w:rsidR="00677F5E" w:rsidRPr="001D74B9">
        <w:rPr>
          <w:iCs/>
          <w:lang w:val="en-GB"/>
        </w:rPr>
        <w:t xml:space="preserve"> </w:t>
      </w:r>
      <w:r w:rsidR="00F9274A" w:rsidRPr="001D74B9">
        <w:rPr>
          <w:lang w:val="en-GB"/>
        </w:rPr>
        <w:t xml:space="preserve">in ensuring </w:t>
      </w:r>
      <w:r w:rsidR="008237B7" w:rsidRPr="001D74B9">
        <w:rPr>
          <w:lang w:val="en-GB"/>
        </w:rPr>
        <w:t>the</w:t>
      </w:r>
      <w:r w:rsidR="00F9274A" w:rsidRPr="001D74B9">
        <w:rPr>
          <w:lang w:val="en-GB"/>
        </w:rPr>
        <w:t xml:space="preserve"> consistent use of European resources; and (iii), for the EU </w:t>
      </w:r>
      <w:r w:rsidR="005D1664" w:rsidRPr="001D74B9">
        <w:rPr>
          <w:iCs/>
          <w:lang w:val="en-GB"/>
        </w:rPr>
        <w:t>Commission</w:t>
      </w:r>
      <w:r w:rsidR="0067115A" w:rsidRPr="001D74B9">
        <w:rPr>
          <w:lang w:val="en-GB"/>
        </w:rPr>
        <w:t xml:space="preserve"> to push forward a new temporary financial instrument to support the extraordinary activities </w:t>
      </w:r>
      <w:r w:rsidR="008237B7" w:rsidRPr="001D74B9">
        <w:rPr>
          <w:lang w:val="en-GB"/>
        </w:rPr>
        <w:t>that</w:t>
      </w:r>
      <w:r w:rsidR="0067115A" w:rsidRPr="001D74B9">
        <w:rPr>
          <w:lang w:val="en-GB"/>
        </w:rPr>
        <w:t xml:space="preserve"> have to be carried out in the</w:t>
      </w:r>
      <w:r w:rsidR="00677F5E" w:rsidRPr="001D74B9">
        <w:rPr>
          <w:iCs/>
          <w:lang w:val="en-GB"/>
        </w:rPr>
        <w:t xml:space="preserve"> recovery </w:t>
      </w:r>
      <w:r w:rsidR="00964691" w:rsidRPr="001D74B9">
        <w:rPr>
          <w:lang w:val="en-GB"/>
        </w:rPr>
        <w:t>phase, as jointly proposed by the European Social Partners</w:t>
      </w:r>
      <w:r w:rsidR="00677F5E" w:rsidRPr="001D74B9">
        <w:rPr>
          <w:iCs/>
          <w:lang w:val="en-GB"/>
        </w:rPr>
        <w:t>.</w:t>
      </w:r>
    </w:p>
    <w:p w14:paraId="2724365B" w14:textId="77777777" w:rsidR="00677F5E" w:rsidRPr="001D74B9" w:rsidRDefault="00677F5E">
      <w:pPr>
        <w:rPr>
          <w:lang w:val="en-GB"/>
        </w:rPr>
      </w:pPr>
    </w:p>
    <w:p w14:paraId="334618BA" w14:textId="77777777" w:rsidR="002B6B7B" w:rsidRPr="001D74B9" w:rsidRDefault="002B6B7B" w:rsidP="001A1F0B">
      <w:pPr>
        <w:pStyle w:val="Heading1"/>
        <w:keepNext/>
        <w:keepLines/>
        <w:overflowPunct w:val="0"/>
        <w:autoSpaceDE w:val="0"/>
        <w:autoSpaceDN w:val="0"/>
        <w:adjustRightInd w:val="0"/>
        <w:textAlignment w:val="baseline"/>
        <w:rPr>
          <w:b/>
          <w:lang w:val="en-GB"/>
        </w:rPr>
      </w:pPr>
      <w:r w:rsidRPr="001D74B9">
        <w:rPr>
          <w:b/>
          <w:lang w:val="en-GB"/>
        </w:rPr>
        <w:t xml:space="preserve">Social dialogue: how </w:t>
      </w:r>
      <w:r w:rsidR="00311473" w:rsidRPr="001D74B9">
        <w:rPr>
          <w:b/>
          <w:lang w:val="en-GB"/>
        </w:rPr>
        <w:t xml:space="preserve">it can </w:t>
      </w:r>
      <w:r w:rsidRPr="001D74B9">
        <w:rPr>
          <w:b/>
          <w:lang w:val="en-GB"/>
        </w:rPr>
        <w:t>be further promoted and rolled out</w:t>
      </w:r>
    </w:p>
    <w:p w14:paraId="232F5EFB" w14:textId="77777777" w:rsidR="00D743D9" w:rsidRPr="001D74B9" w:rsidRDefault="00D743D9" w:rsidP="001A1F0B">
      <w:pPr>
        <w:keepNext/>
        <w:keepLines/>
        <w:rPr>
          <w:lang w:val="en-GB"/>
        </w:rPr>
      </w:pPr>
    </w:p>
    <w:p w14:paraId="6B5B7AA1" w14:textId="77777777" w:rsidR="00297609" w:rsidRPr="001D74B9" w:rsidRDefault="002B6B7B" w:rsidP="00CD407F">
      <w:pPr>
        <w:pStyle w:val="Heading2"/>
        <w:rPr>
          <w:rFonts w:eastAsia="MS Mincho"/>
          <w:lang w:val="en-GB"/>
        </w:rPr>
      </w:pPr>
      <w:r w:rsidRPr="001D74B9">
        <w:rPr>
          <w:rFonts w:eastAsia="MS Mincho"/>
          <w:lang w:val="en-GB"/>
        </w:rPr>
        <w:t>The German Presidency asked the EESC to focus this opinion on how the concept of social dialogue, in particular tripartite forms of social dialogue</w:t>
      </w:r>
      <w:r w:rsidR="00021A0F" w:rsidRPr="001D74B9">
        <w:rPr>
          <w:rFonts w:eastAsia="MS Mincho"/>
          <w:lang w:val="en-GB"/>
        </w:rPr>
        <w:t>,</w:t>
      </w:r>
      <w:r w:rsidR="00311473" w:rsidRPr="001D74B9">
        <w:rPr>
          <w:rFonts w:eastAsia="MS Mincho"/>
          <w:lang w:val="en-GB"/>
        </w:rPr>
        <w:t xml:space="preserve"> can go</w:t>
      </w:r>
      <w:r w:rsidRPr="001D74B9">
        <w:rPr>
          <w:rFonts w:eastAsia="MS Mincho"/>
          <w:lang w:val="en-GB"/>
        </w:rPr>
        <w:t xml:space="preserve"> beyond collective bargaining</w:t>
      </w:r>
      <w:r w:rsidR="00095DAC" w:rsidRPr="001D74B9">
        <w:rPr>
          <w:rFonts w:eastAsia="MS Mincho"/>
          <w:lang w:val="en-GB"/>
        </w:rPr>
        <w:t>.</w:t>
      </w:r>
      <w:r w:rsidR="00566A5E" w:rsidRPr="001D74B9">
        <w:rPr>
          <w:rFonts w:eastAsia="MS Mincho"/>
          <w:lang w:val="en-GB"/>
        </w:rPr>
        <w:t xml:space="preserve"> </w:t>
      </w:r>
      <w:r w:rsidR="00566A5E" w:rsidRPr="001D74B9">
        <w:rPr>
          <w:lang w:val="en-GB"/>
        </w:rPr>
        <w:t>Tripartite – just like bipartite – social dialogue is a key instrument for sound governance of any process of change.</w:t>
      </w:r>
    </w:p>
    <w:p w14:paraId="2F7C5C37" w14:textId="77777777" w:rsidR="00095DAC" w:rsidRPr="001D74B9" w:rsidRDefault="00095DAC">
      <w:pPr>
        <w:rPr>
          <w:rFonts w:eastAsia="MS Mincho"/>
          <w:lang w:val="en-GB"/>
        </w:rPr>
      </w:pPr>
    </w:p>
    <w:p w14:paraId="50EA68D8" w14:textId="77777777" w:rsidR="00297609" w:rsidRPr="001D74B9" w:rsidRDefault="002B6B7B">
      <w:pPr>
        <w:pStyle w:val="Heading2"/>
        <w:numPr>
          <w:ilvl w:val="1"/>
          <w:numId w:val="6"/>
        </w:numPr>
        <w:rPr>
          <w:lang w:val="en-GB"/>
        </w:rPr>
      </w:pPr>
      <w:r w:rsidRPr="001D74B9">
        <w:rPr>
          <w:lang w:val="en-GB"/>
        </w:rPr>
        <w:t xml:space="preserve">In order to evaluate the role that social dialogue and participatory models can play in advancing </w:t>
      </w:r>
      <w:r w:rsidR="00311473" w:rsidRPr="001D74B9">
        <w:rPr>
          <w:lang w:val="en-GB"/>
        </w:rPr>
        <w:t xml:space="preserve">upward </w:t>
      </w:r>
      <w:r w:rsidRPr="001D74B9">
        <w:rPr>
          <w:lang w:val="en-GB"/>
        </w:rPr>
        <w:t xml:space="preserve">economic and social convergence and in times of crisis, like today, in </w:t>
      </w:r>
      <w:r w:rsidR="00311473" w:rsidRPr="001D74B9">
        <w:rPr>
          <w:lang w:val="en-GB"/>
        </w:rPr>
        <w:t xml:space="preserve">helping </w:t>
      </w:r>
      <w:r w:rsidRPr="001D74B9">
        <w:rPr>
          <w:lang w:val="en-GB"/>
        </w:rPr>
        <w:t xml:space="preserve">to respond to the impact of </w:t>
      </w:r>
      <w:r w:rsidR="00777B16" w:rsidRPr="001D74B9">
        <w:rPr>
          <w:lang w:val="en-GB"/>
        </w:rPr>
        <w:t>C</w:t>
      </w:r>
      <w:r w:rsidR="00311473" w:rsidRPr="001D74B9">
        <w:rPr>
          <w:lang w:val="en-GB"/>
        </w:rPr>
        <w:t>OVID</w:t>
      </w:r>
      <w:r w:rsidRPr="001D74B9">
        <w:rPr>
          <w:lang w:val="en-GB"/>
        </w:rPr>
        <w:t>-19 on our societies and economies, it is useful to recall the evolution of the concept of social dialogue at in</w:t>
      </w:r>
      <w:r w:rsidR="00452A42" w:rsidRPr="001D74B9">
        <w:rPr>
          <w:lang w:val="en-GB"/>
        </w:rPr>
        <w:t>ternational and European level.</w:t>
      </w:r>
    </w:p>
    <w:p w14:paraId="4BC50F85" w14:textId="77777777" w:rsidR="00297609" w:rsidRPr="001D74B9" w:rsidRDefault="00297609">
      <w:pPr>
        <w:pStyle w:val="Heading2"/>
        <w:numPr>
          <w:ilvl w:val="0"/>
          <w:numId w:val="0"/>
        </w:numPr>
        <w:ind w:left="567"/>
        <w:rPr>
          <w:lang w:val="en-GB"/>
        </w:rPr>
      </w:pPr>
    </w:p>
    <w:p w14:paraId="61F12E1E" w14:textId="77777777" w:rsidR="002B6B7B" w:rsidRPr="001D74B9" w:rsidRDefault="00311473">
      <w:pPr>
        <w:pStyle w:val="Heading2"/>
        <w:rPr>
          <w:lang w:val="en-GB"/>
        </w:rPr>
      </w:pPr>
      <w:r w:rsidRPr="001D74B9">
        <w:rPr>
          <w:lang w:val="en-GB"/>
        </w:rPr>
        <w:t>T</w:t>
      </w:r>
      <w:r w:rsidR="002B6B7B" w:rsidRPr="001D74B9">
        <w:rPr>
          <w:lang w:val="en-GB"/>
        </w:rPr>
        <w:t xml:space="preserve">he role of autonomous and representative social partners was fully recognised in ILO fundamental Conventions since the beginning, but the role of social dialogue in designing and monitoring </w:t>
      </w:r>
      <w:r w:rsidRPr="001D74B9">
        <w:rPr>
          <w:lang w:val="en-GB"/>
        </w:rPr>
        <w:t xml:space="preserve">the </w:t>
      </w:r>
      <w:r w:rsidR="002B6B7B" w:rsidRPr="001D74B9">
        <w:rPr>
          <w:lang w:val="en-GB"/>
        </w:rPr>
        <w:t>implementation of social and economic policies</w:t>
      </w:r>
      <w:r w:rsidRPr="001D74B9">
        <w:rPr>
          <w:lang w:val="en-GB"/>
        </w:rPr>
        <w:t xml:space="preserve"> has</w:t>
      </w:r>
      <w:r w:rsidR="002B6B7B" w:rsidRPr="001D74B9">
        <w:rPr>
          <w:lang w:val="en-GB"/>
        </w:rPr>
        <w:t xml:space="preserve"> evolved </w:t>
      </w:r>
      <w:r w:rsidRPr="001D74B9">
        <w:rPr>
          <w:lang w:val="en-GB"/>
        </w:rPr>
        <w:t xml:space="preserve">in keeping with </w:t>
      </w:r>
      <w:r w:rsidR="002B6B7B" w:rsidRPr="001D74B9">
        <w:rPr>
          <w:lang w:val="en-GB"/>
        </w:rPr>
        <w:t xml:space="preserve">the changes in our societies and in the </w:t>
      </w:r>
      <w:r w:rsidRPr="001D74B9">
        <w:rPr>
          <w:lang w:val="en-GB"/>
        </w:rPr>
        <w:t xml:space="preserve">rapid </w:t>
      </w:r>
      <w:r w:rsidR="008D584E" w:rsidRPr="001D74B9">
        <w:rPr>
          <w:lang w:val="en-GB"/>
        </w:rPr>
        <w:t xml:space="preserve">processes of </w:t>
      </w:r>
      <w:r w:rsidR="002B6B7B" w:rsidRPr="001D74B9">
        <w:rPr>
          <w:lang w:val="en-GB"/>
        </w:rPr>
        <w:t>globali</w:t>
      </w:r>
      <w:r w:rsidRPr="001D74B9">
        <w:rPr>
          <w:lang w:val="en-GB"/>
        </w:rPr>
        <w:t>s</w:t>
      </w:r>
      <w:r w:rsidR="002B6B7B" w:rsidRPr="001D74B9">
        <w:rPr>
          <w:lang w:val="en-GB"/>
        </w:rPr>
        <w:t>ation. The need to include all stakeholders</w:t>
      </w:r>
      <w:r w:rsidR="00EA5B18" w:rsidRPr="001D74B9">
        <w:rPr>
          <w:rStyle w:val="FootnoteReference"/>
          <w:lang w:val="en-GB"/>
        </w:rPr>
        <w:footnoteReference w:id="1"/>
      </w:r>
      <w:r w:rsidR="002B6B7B" w:rsidRPr="001D74B9">
        <w:rPr>
          <w:lang w:val="en-GB"/>
        </w:rPr>
        <w:t xml:space="preserve"> at </w:t>
      </w:r>
      <w:r w:rsidR="00EA5B18" w:rsidRPr="001D74B9">
        <w:rPr>
          <w:lang w:val="en-GB"/>
        </w:rPr>
        <w:t xml:space="preserve">transnational, </w:t>
      </w:r>
      <w:r w:rsidR="002B6B7B" w:rsidRPr="001D74B9">
        <w:rPr>
          <w:lang w:val="en-GB"/>
        </w:rPr>
        <w:t>national and local level encourages new forms of consultation and participation in policy-making processes</w:t>
      </w:r>
      <w:r w:rsidR="002A578C" w:rsidRPr="001D74B9">
        <w:rPr>
          <w:lang w:val="en-GB"/>
        </w:rPr>
        <w:t>,</w:t>
      </w:r>
      <w:r w:rsidR="002B6B7B" w:rsidRPr="001D74B9">
        <w:rPr>
          <w:lang w:val="en-GB"/>
        </w:rPr>
        <w:t xml:space="preserve"> which may take place at different levels, depending on national circumstances, but also on regional developments, such as the European integration process.</w:t>
      </w:r>
    </w:p>
    <w:p w14:paraId="1A34202D" w14:textId="77777777" w:rsidR="00297609" w:rsidRPr="001D74B9" w:rsidRDefault="00297609">
      <w:pPr>
        <w:pStyle w:val="Heading2"/>
        <w:numPr>
          <w:ilvl w:val="0"/>
          <w:numId w:val="0"/>
        </w:numPr>
        <w:ind w:left="567"/>
        <w:rPr>
          <w:lang w:val="en-GB"/>
        </w:rPr>
      </w:pPr>
    </w:p>
    <w:p w14:paraId="5CC33005" w14:textId="77777777" w:rsidR="00AF1BAA" w:rsidRPr="001D74B9" w:rsidRDefault="002B6B7B">
      <w:pPr>
        <w:pStyle w:val="Heading2"/>
        <w:rPr>
          <w:lang w:val="en-GB"/>
        </w:rPr>
      </w:pPr>
      <w:r w:rsidRPr="001D74B9">
        <w:rPr>
          <w:lang w:val="en-GB"/>
        </w:rPr>
        <w:t>According to the ILO definition</w:t>
      </w:r>
      <w:r w:rsidR="00552FDC" w:rsidRPr="001D74B9">
        <w:rPr>
          <w:rStyle w:val="FootnoteReference"/>
          <w:lang w:val="en-GB"/>
        </w:rPr>
        <w:footnoteReference w:id="2"/>
      </w:r>
      <w:r w:rsidR="00DE595A" w:rsidRPr="001D74B9">
        <w:rPr>
          <w:lang w:val="en-GB"/>
        </w:rPr>
        <w:t>,</w:t>
      </w:r>
      <w:r w:rsidRPr="001D74B9">
        <w:rPr>
          <w:lang w:val="en-GB"/>
        </w:rPr>
        <w:t xml:space="preserve"> social dialogue includes all types of negotiation, consultation or exchange of information between or among representatives of governments, employers and workers on issues of common interest relating to economic, labour or social policy. It can exist as a tripartite process – with the direct involvement of the government, bipartite </w:t>
      </w:r>
      <w:r w:rsidR="00D67169" w:rsidRPr="001D74B9">
        <w:rPr>
          <w:lang w:val="en-GB"/>
        </w:rPr>
        <w:t>–</w:t>
      </w:r>
      <w:r w:rsidRPr="001D74B9">
        <w:rPr>
          <w:lang w:val="en-GB"/>
        </w:rPr>
        <w:t xml:space="preserve"> between employers</w:t>
      </w:r>
      <w:r w:rsidR="00D67169" w:rsidRPr="001D74B9">
        <w:rPr>
          <w:lang w:val="en-GB"/>
        </w:rPr>
        <w:t>'</w:t>
      </w:r>
      <w:r w:rsidRPr="001D74B9">
        <w:rPr>
          <w:lang w:val="en-GB"/>
        </w:rPr>
        <w:t xml:space="preserve"> and workers</w:t>
      </w:r>
      <w:r w:rsidR="00D67169" w:rsidRPr="001D74B9">
        <w:rPr>
          <w:lang w:val="en-GB"/>
        </w:rPr>
        <w:t>'</w:t>
      </w:r>
      <w:r w:rsidRPr="001D74B9">
        <w:rPr>
          <w:lang w:val="en-GB"/>
        </w:rPr>
        <w:t xml:space="preserve"> representatives</w:t>
      </w:r>
      <w:r w:rsidR="00D67169" w:rsidRPr="001D74B9">
        <w:rPr>
          <w:lang w:val="en-GB"/>
        </w:rPr>
        <w:t>,</w:t>
      </w:r>
      <w:r w:rsidRPr="001D74B9">
        <w:rPr>
          <w:lang w:val="en-GB"/>
        </w:rPr>
        <w:t xml:space="preserve"> or more recently, </w:t>
      </w:r>
      <w:r w:rsidR="00D67169" w:rsidRPr="001D74B9">
        <w:rPr>
          <w:lang w:val="en-GB"/>
        </w:rPr>
        <w:t xml:space="preserve">on a </w:t>
      </w:r>
      <w:r w:rsidRPr="001D74B9">
        <w:rPr>
          <w:lang w:val="en-GB"/>
        </w:rPr>
        <w:t>cross-border</w:t>
      </w:r>
      <w:r w:rsidR="00D67169" w:rsidRPr="001D74B9">
        <w:rPr>
          <w:lang w:val="en-GB"/>
        </w:rPr>
        <w:t xml:space="preserve"> basis</w:t>
      </w:r>
      <w:r w:rsidR="009D0DD5" w:rsidRPr="001D74B9">
        <w:rPr>
          <w:rStyle w:val="FootnoteReference"/>
          <w:lang w:val="en-GB"/>
        </w:rPr>
        <w:footnoteReference w:id="3"/>
      </w:r>
      <w:r w:rsidRPr="001D74B9">
        <w:rPr>
          <w:lang w:val="en-GB"/>
        </w:rPr>
        <w:t xml:space="preserve"> </w:t>
      </w:r>
      <w:r w:rsidR="00D67169" w:rsidRPr="001D74B9">
        <w:rPr>
          <w:lang w:val="en-GB"/>
        </w:rPr>
        <w:t>–</w:t>
      </w:r>
      <w:r w:rsidRPr="001D74B9">
        <w:rPr>
          <w:lang w:val="en-GB"/>
        </w:rPr>
        <w:t xml:space="preserve"> which implies transnational social dialogue in </w:t>
      </w:r>
      <w:r w:rsidR="00A93BDC" w:rsidRPr="001D74B9">
        <w:rPr>
          <w:lang w:val="en-GB"/>
        </w:rPr>
        <w:t>Multinational Enterprises (</w:t>
      </w:r>
      <w:r w:rsidRPr="001D74B9">
        <w:rPr>
          <w:lang w:val="en-GB"/>
        </w:rPr>
        <w:t>MNEs</w:t>
      </w:r>
      <w:r w:rsidR="00A93BDC" w:rsidRPr="001D74B9">
        <w:rPr>
          <w:lang w:val="en-GB"/>
        </w:rPr>
        <w:t>)</w:t>
      </w:r>
      <w:r w:rsidRPr="001D74B9">
        <w:rPr>
          <w:lang w:val="en-GB"/>
        </w:rPr>
        <w:t xml:space="preserve"> and global supply </w:t>
      </w:r>
      <w:r w:rsidR="00452A42" w:rsidRPr="001D74B9">
        <w:rPr>
          <w:lang w:val="en-GB"/>
        </w:rPr>
        <w:t>chains</w:t>
      </w:r>
      <w:r w:rsidR="00A93BDC" w:rsidRPr="001D74B9">
        <w:rPr>
          <w:lang w:val="en-GB"/>
        </w:rPr>
        <w:t xml:space="preserve"> in the context of a growing globali</w:t>
      </w:r>
      <w:r w:rsidR="002A578C" w:rsidRPr="001D74B9">
        <w:rPr>
          <w:lang w:val="en-GB"/>
        </w:rPr>
        <w:t>s</w:t>
      </w:r>
      <w:r w:rsidR="00A93BDC" w:rsidRPr="001D74B9">
        <w:rPr>
          <w:lang w:val="en-GB"/>
        </w:rPr>
        <w:t>ed and interconnected economy</w:t>
      </w:r>
      <w:r w:rsidRPr="001D74B9">
        <w:rPr>
          <w:lang w:val="en-GB"/>
        </w:rPr>
        <w:t>.</w:t>
      </w:r>
    </w:p>
    <w:p w14:paraId="51F4AE6F" w14:textId="77777777" w:rsidR="00AF1BAA" w:rsidRPr="001D74B9" w:rsidRDefault="00AF1BAA">
      <w:pPr>
        <w:pStyle w:val="Heading2"/>
        <w:numPr>
          <w:ilvl w:val="0"/>
          <w:numId w:val="0"/>
        </w:numPr>
        <w:rPr>
          <w:lang w:val="en-GB"/>
        </w:rPr>
      </w:pPr>
    </w:p>
    <w:p w14:paraId="32D4CAAA" w14:textId="77777777" w:rsidR="00AF1BAA" w:rsidRPr="001D74B9" w:rsidRDefault="00E23429">
      <w:pPr>
        <w:pStyle w:val="Heading2"/>
        <w:rPr>
          <w:bCs/>
          <w:lang w:val="en-GB"/>
        </w:rPr>
      </w:pPr>
      <w:r w:rsidRPr="001D74B9">
        <w:rPr>
          <w:bCs/>
          <w:lang w:val="en-GB"/>
        </w:rPr>
        <w:t xml:space="preserve">The EESC is engaged in ongoing work to address the need </w:t>
      </w:r>
      <w:r w:rsidR="004A1721" w:rsidRPr="001D74B9">
        <w:rPr>
          <w:bCs/>
          <w:lang w:val="en-GB"/>
        </w:rPr>
        <w:t>for</w:t>
      </w:r>
      <w:r w:rsidRPr="001D74B9">
        <w:rPr>
          <w:bCs/>
          <w:lang w:val="en-GB"/>
        </w:rPr>
        <w:t xml:space="preserve"> a consistent approach at EU level to link respect </w:t>
      </w:r>
      <w:r w:rsidR="0065253E" w:rsidRPr="001D74B9">
        <w:rPr>
          <w:bCs/>
          <w:lang w:val="en-GB"/>
        </w:rPr>
        <w:t>for</w:t>
      </w:r>
      <w:r w:rsidRPr="001D74B9">
        <w:rPr>
          <w:bCs/>
          <w:lang w:val="en-GB"/>
        </w:rPr>
        <w:t xml:space="preserve"> human rights, implementation of </w:t>
      </w:r>
      <w:r w:rsidR="0065253E" w:rsidRPr="001D74B9">
        <w:rPr>
          <w:bCs/>
          <w:lang w:val="en-GB"/>
        </w:rPr>
        <w:t xml:space="preserve">the </w:t>
      </w:r>
      <w:r w:rsidRPr="001D74B9">
        <w:rPr>
          <w:bCs/>
          <w:lang w:val="en-GB"/>
        </w:rPr>
        <w:t>SDGs and sustainable investments in business operations across the world and to address the impact of growing transnational relations with MNEs, which involve social partners</w:t>
      </w:r>
      <w:r w:rsidRPr="001D74B9">
        <w:rPr>
          <w:iCs/>
          <w:lang w:val="en-GB"/>
        </w:rPr>
        <w:t xml:space="preserve">. </w:t>
      </w:r>
      <w:r w:rsidR="006D64EE" w:rsidRPr="001D74B9">
        <w:rPr>
          <w:bCs/>
          <w:lang w:val="en-GB"/>
        </w:rPr>
        <w:t xml:space="preserve">These topics are particularly relevant in </w:t>
      </w:r>
      <w:r w:rsidR="005D1664" w:rsidRPr="001D74B9">
        <w:rPr>
          <w:bCs/>
          <w:lang w:val="en-GB"/>
        </w:rPr>
        <w:t>a number of</w:t>
      </w:r>
      <w:r w:rsidR="006D64EE" w:rsidRPr="001D74B9">
        <w:rPr>
          <w:bCs/>
          <w:lang w:val="en-GB"/>
        </w:rPr>
        <w:t xml:space="preserve"> specific opinions, such as </w:t>
      </w:r>
      <w:r w:rsidR="005D1664" w:rsidRPr="001D74B9">
        <w:rPr>
          <w:bCs/>
          <w:lang w:val="en-GB"/>
        </w:rPr>
        <w:t xml:space="preserve">those </w:t>
      </w:r>
      <w:r w:rsidR="006D64EE" w:rsidRPr="001D74B9">
        <w:rPr>
          <w:bCs/>
          <w:lang w:val="en-GB"/>
        </w:rPr>
        <w:t xml:space="preserve">on due diligence and decent work in global supply chains, as requested </w:t>
      </w:r>
      <w:r w:rsidR="005D1664" w:rsidRPr="001D74B9">
        <w:rPr>
          <w:bCs/>
          <w:lang w:val="en-GB"/>
        </w:rPr>
        <w:t xml:space="preserve">of the EESC </w:t>
      </w:r>
      <w:r w:rsidR="006D64EE" w:rsidRPr="001D74B9">
        <w:rPr>
          <w:bCs/>
          <w:lang w:val="en-GB"/>
        </w:rPr>
        <w:t xml:space="preserve">by the German Presidency and </w:t>
      </w:r>
      <w:r w:rsidR="005D1664" w:rsidRPr="001D74B9">
        <w:rPr>
          <w:bCs/>
          <w:lang w:val="en-GB"/>
        </w:rPr>
        <w:t xml:space="preserve">the </w:t>
      </w:r>
      <w:r w:rsidR="006D64EE" w:rsidRPr="001D74B9">
        <w:rPr>
          <w:bCs/>
          <w:lang w:val="en-GB"/>
        </w:rPr>
        <w:t xml:space="preserve">EP, following the discussions launched </w:t>
      </w:r>
      <w:r w:rsidR="00C55D9E" w:rsidRPr="001D74B9">
        <w:rPr>
          <w:bCs/>
          <w:lang w:val="en-GB"/>
        </w:rPr>
        <w:t>at the</w:t>
      </w:r>
      <w:r w:rsidR="006D64EE" w:rsidRPr="001D74B9">
        <w:rPr>
          <w:bCs/>
          <w:lang w:val="en-GB"/>
        </w:rPr>
        <w:t xml:space="preserve"> G7 and G20 </w:t>
      </w:r>
      <w:r w:rsidR="00C55D9E" w:rsidRPr="001D74B9">
        <w:rPr>
          <w:bCs/>
          <w:lang w:val="en-GB"/>
        </w:rPr>
        <w:t xml:space="preserve">summits </w:t>
      </w:r>
      <w:r w:rsidR="006D64EE" w:rsidRPr="001D74B9">
        <w:rPr>
          <w:bCs/>
          <w:lang w:val="en-GB"/>
        </w:rPr>
        <w:t xml:space="preserve">in 2015 and 2016. The European Union has </w:t>
      </w:r>
      <w:r w:rsidR="003078E4" w:rsidRPr="001D74B9">
        <w:rPr>
          <w:bCs/>
          <w:lang w:val="en-GB"/>
        </w:rPr>
        <w:t>equipped</w:t>
      </w:r>
      <w:r w:rsidR="006D64EE" w:rsidRPr="001D74B9">
        <w:rPr>
          <w:bCs/>
          <w:lang w:val="en-GB"/>
        </w:rPr>
        <w:t xml:space="preserve"> itself with a regulatory framework of basic economic, social and environmental standards</w:t>
      </w:r>
      <w:r w:rsidR="005D1664" w:rsidRPr="001D74B9">
        <w:rPr>
          <w:bCs/>
          <w:lang w:val="en-GB"/>
        </w:rPr>
        <w:t>,</w:t>
      </w:r>
      <w:r w:rsidR="006D64EE" w:rsidRPr="001D74B9">
        <w:rPr>
          <w:bCs/>
          <w:lang w:val="en-GB"/>
        </w:rPr>
        <w:t xml:space="preserve"> which are a key element of European competitiveness.</w:t>
      </w:r>
    </w:p>
    <w:p w14:paraId="286FBCA4" w14:textId="77777777" w:rsidR="00E26646" w:rsidRPr="001D74B9" w:rsidRDefault="00E26646">
      <w:pPr>
        <w:rPr>
          <w:lang w:val="en-GB"/>
        </w:rPr>
      </w:pPr>
    </w:p>
    <w:p w14:paraId="61A4B418" w14:textId="77777777" w:rsidR="002B6B7B" w:rsidRPr="001D74B9" w:rsidRDefault="002B6B7B">
      <w:pPr>
        <w:pStyle w:val="Heading2"/>
        <w:rPr>
          <w:lang w:val="en-GB"/>
        </w:rPr>
      </w:pPr>
      <w:r w:rsidRPr="001D74B9">
        <w:rPr>
          <w:lang w:val="en-GB"/>
        </w:rPr>
        <w:t xml:space="preserve">The main challenge, however, is to support this dialogue with an </w:t>
      </w:r>
      <w:r w:rsidRPr="001D74B9">
        <w:rPr>
          <w:iCs/>
          <w:lang w:val="en-GB"/>
        </w:rPr>
        <w:t xml:space="preserve">institutional </w:t>
      </w:r>
      <w:r w:rsidRPr="001D74B9">
        <w:rPr>
          <w:lang w:val="en-GB"/>
        </w:rPr>
        <w:t xml:space="preserve">framework in order to guarantee a regular process of dialogue and consultation with </w:t>
      </w:r>
      <w:r w:rsidR="00E66D23" w:rsidRPr="001D74B9">
        <w:rPr>
          <w:lang w:val="en-GB"/>
        </w:rPr>
        <w:t>the</w:t>
      </w:r>
      <w:r w:rsidRPr="001D74B9">
        <w:rPr>
          <w:lang w:val="en-GB"/>
        </w:rPr>
        <w:t xml:space="preserve"> stakeholders. Unfortunately</w:t>
      </w:r>
      <w:r w:rsidR="001420C3" w:rsidRPr="001D74B9">
        <w:rPr>
          <w:lang w:val="en-GB"/>
        </w:rPr>
        <w:t>,</w:t>
      </w:r>
      <w:r w:rsidRPr="001D74B9">
        <w:rPr>
          <w:lang w:val="en-GB"/>
        </w:rPr>
        <w:t xml:space="preserve"> this is not the case in the majority of countries worldwide and in several European countries, where social dialogue is an occasional and fragmented exercise. The role of the State in tripartite mechanisms is crucial and cannot be passive</w:t>
      </w:r>
      <w:r w:rsidR="00814273" w:rsidRPr="001D74B9">
        <w:rPr>
          <w:rStyle w:val="FootnoteReference"/>
          <w:lang w:val="en-GB"/>
        </w:rPr>
        <w:footnoteReference w:id="4"/>
      </w:r>
      <w:r w:rsidR="00A90B16" w:rsidRPr="001D74B9">
        <w:rPr>
          <w:lang w:val="en-GB"/>
        </w:rPr>
        <w:t>.</w:t>
      </w:r>
      <w:r w:rsidRPr="001D74B9">
        <w:rPr>
          <w:lang w:val="en-GB"/>
        </w:rPr>
        <w:t xml:space="preserve"> It is responsible for creating </w:t>
      </w:r>
      <w:r w:rsidR="005E2C54" w:rsidRPr="001D74B9">
        <w:rPr>
          <w:lang w:val="en-GB"/>
        </w:rPr>
        <w:t xml:space="preserve">proper conditions and </w:t>
      </w:r>
      <w:r w:rsidRPr="001D74B9">
        <w:rPr>
          <w:lang w:val="en-GB"/>
        </w:rPr>
        <w:t xml:space="preserve">the legal and institutional framework for such consultation and the political and civil climate which enable </w:t>
      </w:r>
      <w:r w:rsidR="00D33D51" w:rsidRPr="001D74B9">
        <w:rPr>
          <w:lang w:val="en-GB"/>
        </w:rPr>
        <w:t>representative and legitimate social partners</w:t>
      </w:r>
      <w:r w:rsidRPr="001D74B9">
        <w:rPr>
          <w:lang w:val="en-GB"/>
        </w:rPr>
        <w:t xml:space="preserve"> to participate</w:t>
      </w:r>
      <w:r w:rsidR="0099793B" w:rsidRPr="001D74B9">
        <w:rPr>
          <w:lang w:val="en-GB"/>
        </w:rPr>
        <w:t>, recogni</w:t>
      </w:r>
      <w:r w:rsidR="0065253E" w:rsidRPr="001D74B9">
        <w:rPr>
          <w:lang w:val="en-GB"/>
        </w:rPr>
        <w:t>s</w:t>
      </w:r>
      <w:r w:rsidR="0099793B" w:rsidRPr="001D74B9">
        <w:rPr>
          <w:lang w:val="en-GB"/>
        </w:rPr>
        <w:t>ing their role</w:t>
      </w:r>
      <w:r w:rsidRPr="001D74B9">
        <w:rPr>
          <w:lang w:val="en-GB"/>
        </w:rPr>
        <w:t>.</w:t>
      </w:r>
      <w:r w:rsidRPr="001D74B9">
        <w:rPr>
          <w:i/>
          <w:iCs/>
          <w:lang w:val="en-GB"/>
        </w:rPr>
        <w:t xml:space="preserve"> </w:t>
      </w:r>
      <w:r w:rsidRPr="001D74B9">
        <w:rPr>
          <w:lang w:val="en-GB"/>
        </w:rPr>
        <w:t>On the contrary,</w:t>
      </w:r>
      <w:r w:rsidR="002E6C6F" w:rsidRPr="001D74B9">
        <w:rPr>
          <w:lang w:val="en-GB"/>
        </w:rPr>
        <w:t xml:space="preserve"> in some European countries, social dialogue processes have been weaken</w:t>
      </w:r>
      <w:r w:rsidR="005950F8" w:rsidRPr="001D74B9">
        <w:rPr>
          <w:lang w:val="en-GB"/>
        </w:rPr>
        <w:t>e</w:t>
      </w:r>
      <w:r w:rsidR="002E6C6F" w:rsidRPr="001D74B9">
        <w:rPr>
          <w:lang w:val="en-GB"/>
        </w:rPr>
        <w:t>d and</w:t>
      </w:r>
      <w:r w:rsidRPr="001D74B9">
        <w:rPr>
          <w:lang w:val="en-GB"/>
        </w:rPr>
        <w:t xml:space="preserve"> the autonomy of </w:t>
      </w:r>
      <w:r w:rsidR="0055075B" w:rsidRPr="001D74B9">
        <w:rPr>
          <w:lang w:val="en-GB"/>
        </w:rPr>
        <w:t xml:space="preserve">the </w:t>
      </w:r>
      <w:r w:rsidRPr="001D74B9">
        <w:rPr>
          <w:lang w:val="en-GB"/>
        </w:rPr>
        <w:t>social partners</w:t>
      </w:r>
      <w:r w:rsidR="0057588E" w:rsidRPr="001D74B9">
        <w:rPr>
          <w:lang w:val="en-GB"/>
        </w:rPr>
        <w:t xml:space="preserve"> undermined</w:t>
      </w:r>
      <w:r w:rsidR="00BD40DE" w:rsidRPr="001D74B9">
        <w:rPr>
          <w:rStyle w:val="FootnoteReference"/>
          <w:lang w:val="en-GB"/>
        </w:rPr>
        <w:footnoteReference w:id="5"/>
      </w:r>
      <w:r w:rsidRPr="001D74B9">
        <w:rPr>
          <w:lang w:val="en-GB"/>
        </w:rPr>
        <w:t>.</w:t>
      </w:r>
    </w:p>
    <w:p w14:paraId="5C47344B" w14:textId="77777777" w:rsidR="002C15CE" w:rsidRPr="001D74B9" w:rsidRDefault="002C15CE">
      <w:pPr>
        <w:rPr>
          <w:lang w:val="en-GB"/>
        </w:rPr>
      </w:pPr>
    </w:p>
    <w:p w14:paraId="32AE00EE" w14:textId="77777777" w:rsidR="002B6B7B" w:rsidRPr="001D74B9" w:rsidRDefault="0055075B">
      <w:pPr>
        <w:pStyle w:val="Heading2"/>
        <w:rPr>
          <w:lang w:val="en-GB"/>
        </w:rPr>
      </w:pPr>
      <w:r w:rsidRPr="001D74B9">
        <w:rPr>
          <w:lang w:val="en-GB"/>
        </w:rPr>
        <w:t>S</w:t>
      </w:r>
      <w:r w:rsidR="002B6B7B" w:rsidRPr="001D74B9">
        <w:rPr>
          <w:lang w:val="en-GB"/>
        </w:rPr>
        <w:t xml:space="preserve">trong and decisive action </w:t>
      </w:r>
      <w:r w:rsidRPr="001D74B9">
        <w:rPr>
          <w:lang w:val="en-GB"/>
        </w:rPr>
        <w:t xml:space="preserve">by </w:t>
      </w:r>
      <w:r w:rsidR="002B6B7B" w:rsidRPr="001D74B9">
        <w:rPr>
          <w:lang w:val="en-GB"/>
        </w:rPr>
        <w:t>the EU to adopt a more supportive approach to frame consultation practices would be welcome</w:t>
      </w:r>
      <w:r w:rsidR="002360E9" w:rsidRPr="001D74B9">
        <w:rPr>
          <w:rStyle w:val="FootnoteReference"/>
          <w:lang w:val="en-GB"/>
        </w:rPr>
        <w:footnoteReference w:id="6"/>
      </w:r>
      <w:r w:rsidR="002B6B7B" w:rsidRPr="001D74B9">
        <w:rPr>
          <w:lang w:val="en-GB"/>
        </w:rPr>
        <w:t>.</w:t>
      </w:r>
    </w:p>
    <w:p w14:paraId="6FAC329E" w14:textId="77777777" w:rsidR="002C15CE" w:rsidRPr="001D74B9" w:rsidRDefault="002C15CE">
      <w:pPr>
        <w:rPr>
          <w:lang w:val="en-GB"/>
        </w:rPr>
      </w:pPr>
    </w:p>
    <w:p w14:paraId="3C1EC2D9" w14:textId="77777777" w:rsidR="002B6B7B" w:rsidRPr="001D74B9" w:rsidRDefault="002B6B7B">
      <w:pPr>
        <w:pStyle w:val="Heading2"/>
        <w:rPr>
          <w:lang w:val="en-GB"/>
        </w:rPr>
      </w:pPr>
      <w:r w:rsidRPr="001D74B9">
        <w:rPr>
          <w:lang w:val="en-GB" w:bidi="en-GB"/>
        </w:rPr>
        <w:t>The EESC regularly monitor</w:t>
      </w:r>
      <w:r w:rsidR="0055075B" w:rsidRPr="001D74B9">
        <w:rPr>
          <w:lang w:val="en-GB" w:bidi="en-GB"/>
        </w:rPr>
        <w:t>s</w:t>
      </w:r>
      <w:r w:rsidRPr="001D74B9">
        <w:rPr>
          <w:lang w:val="en-GB" w:bidi="en-GB"/>
        </w:rPr>
        <w:t xml:space="preserve"> the development, enforcement and quality of the social dialogue in many </w:t>
      </w:r>
      <w:r w:rsidR="0055075B" w:rsidRPr="001D74B9">
        <w:rPr>
          <w:lang w:val="en-GB" w:bidi="en-GB"/>
        </w:rPr>
        <w:t xml:space="preserve">of </w:t>
      </w:r>
      <w:r w:rsidRPr="001D74B9">
        <w:rPr>
          <w:lang w:val="en-GB" w:bidi="en-GB"/>
        </w:rPr>
        <w:t xml:space="preserve">its opinions. </w:t>
      </w:r>
      <w:r w:rsidRPr="001D74B9">
        <w:rPr>
          <w:lang w:val="en-GB"/>
        </w:rPr>
        <w:t>The social partners have a specific role</w:t>
      </w:r>
      <w:r w:rsidR="00890A23" w:rsidRPr="001D74B9">
        <w:rPr>
          <w:rStyle w:val="FootnoteReference"/>
          <w:lang w:val="en-GB"/>
        </w:rPr>
        <w:footnoteReference w:id="7"/>
      </w:r>
      <w:r w:rsidRPr="001D74B9">
        <w:rPr>
          <w:lang w:val="en-GB"/>
        </w:rPr>
        <w:t xml:space="preserve"> to play in the </w:t>
      </w:r>
      <w:r w:rsidR="00D02884" w:rsidRPr="001D74B9">
        <w:rPr>
          <w:lang w:val="en-GB"/>
        </w:rPr>
        <w:t xml:space="preserve">elaborating </w:t>
      </w:r>
      <w:r w:rsidRPr="001D74B9">
        <w:rPr>
          <w:lang w:val="en-GB"/>
        </w:rPr>
        <w:t xml:space="preserve">and implementation of policies directly or indirectly affecting employment and labour markets. </w:t>
      </w:r>
      <w:r w:rsidR="00220287" w:rsidRPr="001D74B9">
        <w:rPr>
          <w:lang w:val="en-GB"/>
        </w:rPr>
        <w:t>The EESC also welcomes the supportive position of Eurofound</w:t>
      </w:r>
      <w:r w:rsidR="0065253E" w:rsidRPr="001D74B9">
        <w:rPr>
          <w:lang w:val="en-GB"/>
        </w:rPr>
        <w:t>, which states</w:t>
      </w:r>
      <w:r w:rsidR="00220287" w:rsidRPr="001D74B9">
        <w:rPr>
          <w:lang w:val="en-GB"/>
        </w:rPr>
        <w:t xml:space="preserve"> that </w:t>
      </w:r>
      <w:r w:rsidRPr="001D74B9">
        <w:rPr>
          <w:lang w:val="en-GB"/>
        </w:rPr>
        <w:t>Social dialogue must be promoted and supported, while respecting the autonomy of the social partners and collective bargaining and increasing the social partners</w:t>
      </w:r>
      <w:r w:rsidR="0055075B" w:rsidRPr="001D74B9">
        <w:rPr>
          <w:lang w:val="en-GB"/>
        </w:rPr>
        <w:t>'</w:t>
      </w:r>
      <w:r w:rsidRPr="001D74B9">
        <w:rPr>
          <w:lang w:val="en-GB"/>
        </w:rPr>
        <w:t xml:space="preserve"> capacity to engage in social dialogue, equipping them with knowledge and training and creating the appropriate policy and legal frameworks to enable all social stakeholders to perform effectively</w:t>
      </w:r>
      <w:r w:rsidR="00890A23" w:rsidRPr="001D74B9">
        <w:rPr>
          <w:rStyle w:val="FootnoteReference"/>
          <w:lang w:val="en-GB"/>
        </w:rPr>
        <w:footnoteReference w:id="8"/>
      </w:r>
      <w:r w:rsidR="00890A23" w:rsidRPr="001D74B9">
        <w:rPr>
          <w:lang w:val="en-GB"/>
        </w:rPr>
        <w:t>.</w:t>
      </w:r>
      <w:r w:rsidRPr="001D74B9">
        <w:rPr>
          <w:lang w:val="en-GB"/>
        </w:rPr>
        <w:t xml:space="preserve"> </w:t>
      </w:r>
      <w:r w:rsidR="00220287" w:rsidRPr="001D74B9">
        <w:rPr>
          <w:lang w:val="en-GB"/>
        </w:rPr>
        <w:t>Bipartite social dialogue and collective bargaining</w:t>
      </w:r>
      <w:r w:rsidR="00770437" w:rsidRPr="001D74B9">
        <w:rPr>
          <w:color w:val="000000"/>
          <w:lang w:val="en-GB"/>
        </w:rPr>
        <w:t>, at all levels,</w:t>
      </w:r>
      <w:r w:rsidR="00220287" w:rsidRPr="001D74B9">
        <w:rPr>
          <w:lang w:val="en-GB"/>
        </w:rPr>
        <w:t xml:space="preserve"> are the core of national industrial relations systems and play a crucial role in shaping employment conditions and </w:t>
      </w:r>
      <w:r w:rsidR="00594746" w:rsidRPr="001D74B9">
        <w:rPr>
          <w:lang w:val="en-GB"/>
        </w:rPr>
        <w:t xml:space="preserve">the </w:t>
      </w:r>
      <w:r w:rsidR="00220287" w:rsidRPr="001D74B9">
        <w:rPr>
          <w:lang w:val="en-GB"/>
        </w:rPr>
        <w:t xml:space="preserve">labour market. Bipartite social dialogue should be underpinned by an appropriately supportive </w:t>
      </w:r>
      <w:r w:rsidR="00277019" w:rsidRPr="001D74B9">
        <w:rPr>
          <w:lang w:val="en-GB"/>
        </w:rPr>
        <w:t>institutionalised</w:t>
      </w:r>
      <w:r w:rsidR="00220287" w:rsidRPr="001D74B9">
        <w:rPr>
          <w:lang w:val="en-GB"/>
        </w:rPr>
        <w:t xml:space="preserve"> framework</w:t>
      </w:r>
      <w:r w:rsidR="00594746" w:rsidRPr="001D74B9">
        <w:rPr>
          <w:lang w:val="en-GB"/>
        </w:rPr>
        <w:t>,</w:t>
      </w:r>
      <w:r w:rsidR="00220287" w:rsidRPr="001D74B9">
        <w:rPr>
          <w:lang w:val="en-GB"/>
        </w:rPr>
        <w:t xml:space="preserve"> while respecting the principle of subsidiarity and </w:t>
      </w:r>
      <w:r w:rsidR="00594746" w:rsidRPr="001D74B9">
        <w:rPr>
          <w:lang w:val="en-GB"/>
        </w:rPr>
        <w:t xml:space="preserve">the </w:t>
      </w:r>
      <w:r w:rsidR="00220287" w:rsidRPr="001D74B9">
        <w:rPr>
          <w:lang w:val="en-GB"/>
        </w:rPr>
        <w:t>autonomy of the social partners.</w:t>
      </w:r>
    </w:p>
    <w:p w14:paraId="521FCD39" w14:textId="77777777" w:rsidR="002C15CE" w:rsidRPr="001D74B9" w:rsidRDefault="002C15CE">
      <w:pPr>
        <w:rPr>
          <w:lang w:val="en-GB"/>
        </w:rPr>
      </w:pPr>
    </w:p>
    <w:p w14:paraId="2910F79F" w14:textId="77777777" w:rsidR="002B6B7B" w:rsidRPr="001D74B9" w:rsidRDefault="00C06C80">
      <w:pPr>
        <w:pStyle w:val="Heading2"/>
        <w:rPr>
          <w:shd w:val="clear" w:color="auto" w:fill="FFFFFF"/>
          <w:lang w:val="en-GB"/>
        </w:rPr>
      </w:pPr>
      <w:r w:rsidRPr="001D74B9">
        <w:rPr>
          <w:lang w:val="en-GB"/>
        </w:rPr>
        <w:t>D</w:t>
      </w:r>
      <w:r w:rsidR="002B6B7B" w:rsidRPr="001D74B9">
        <w:rPr>
          <w:lang w:val="en-GB"/>
        </w:rPr>
        <w:t xml:space="preserve">ialogue mechanisms at national level can include national tripartite economic and labour councils open to various CSOs or </w:t>
      </w:r>
      <w:r w:rsidR="00FA3E29" w:rsidRPr="001D74B9">
        <w:rPr>
          <w:lang w:val="en-GB"/>
        </w:rPr>
        <w:t>e</w:t>
      </w:r>
      <w:r w:rsidR="002B6B7B" w:rsidRPr="001D74B9">
        <w:rPr>
          <w:lang w:val="en-GB"/>
        </w:rPr>
        <w:t xml:space="preserve">conomic and social </w:t>
      </w:r>
      <w:r w:rsidR="00FA3E29" w:rsidRPr="001D74B9">
        <w:rPr>
          <w:lang w:val="en-GB"/>
        </w:rPr>
        <w:t>c</w:t>
      </w:r>
      <w:r w:rsidR="002B6B7B" w:rsidRPr="001D74B9">
        <w:rPr>
          <w:lang w:val="en-GB"/>
        </w:rPr>
        <w:t xml:space="preserve">ouncils which should serve as channels for the opinions of European society in economic and social affairs, through groups to which citizens belong, to </w:t>
      </w:r>
      <w:r w:rsidR="00B25264" w:rsidRPr="001D74B9">
        <w:rPr>
          <w:lang w:val="en-GB"/>
        </w:rPr>
        <w:t xml:space="preserve">produce </w:t>
      </w:r>
      <w:r w:rsidR="002B6B7B" w:rsidRPr="001D74B9">
        <w:rPr>
          <w:lang w:val="en-GB"/>
        </w:rPr>
        <w:t xml:space="preserve">this form of dialogue with the aim of </w:t>
      </w:r>
      <w:r w:rsidR="00B25264" w:rsidRPr="001D74B9">
        <w:rPr>
          <w:lang w:val="en-GB"/>
        </w:rPr>
        <w:t xml:space="preserve">jointly </w:t>
      </w:r>
      <w:r w:rsidR="002B6B7B" w:rsidRPr="001D74B9">
        <w:rPr>
          <w:lang w:val="en-GB"/>
        </w:rPr>
        <w:t>addressing the challenges of our economies and societies.</w:t>
      </w:r>
      <w:r w:rsidR="002B6B7B" w:rsidRPr="001D74B9">
        <w:rPr>
          <w:shd w:val="clear" w:color="auto" w:fill="FFFFFF"/>
          <w:lang w:val="en-GB"/>
        </w:rPr>
        <w:t xml:space="preserve"> These bodies, however, have not been set up in all EU countries and </w:t>
      </w:r>
      <w:r w:rsidR="00A34085" w:rsidRPr="001D74B9">
        <w:rPr>
          <w:shd w:val="clear" w:color="auto" w:fill="FFFFFF"/>
          <w:lang w:val="en-GB"/>
        </w:rPr>
        <w:t xml:space="preserve">the EESC </w:t>
      </w:r>
      <w:r w:rsidR="00517F6A" w:rsidRPr="001D74B9">
        <w:rPr>
          <w:shd w:val="clear" w:color="auto" w:fill="FFFFFF"/>
          <w:lang w:val="en-GB"/>
        </w:rPr>
        <w:t>Liaison</w:t>
      </w:r>
      <w:r w:rsidR="00A34085" w:rsidRPr="001D74B9">
        <w:rPr>
          <w:shd w:val="clear" w:color="auto" w:fill="FFFFFF"/>
          <w:lang w:val="en-GB"/>
        </w:rPr>
        <w:t xml:space="preserve"> committee should have a stronger role </w:t>
      </w:r>
      <w:r w:rsidR="005D1664" w:rsidRPr="001D74B9">
        <w:rPr>
          <w:shd w:val="clear" w:color="auto" w:fill="FFFFFF"/>
          <w:lang w:val="en-GB"/>
        </w:rPr>
        <w:t>i</w:t>
      </w:r>
      <w:r w:rsidR="00A34085" w:rsidRPr="001D74B9">
        <w:rPr>
          <w:shd w:val="clear" w:color="auto" w:fill="FFFFFF"/>
          <w:lang w:val="en-GB"/>
        </w:rPr>
        <w:t xml:space="preserve">n </w:t>
      </w:r>
      <w:r w:rsidR="002B6B7B" w:rsidRPr="001D74B9">
        <w:rPr>
          <w:shd w:val="clear" w:color="auto" w:fill="FFFFFF"/>
          <w:lang w:val="en-GB"/>
        </w:rPr>
        <w:t>coordination.</w:t>
      </w:r>
    </w:p>
    <w:p w14:paraId="0AF86888" w14:textId="77777777" w:rsidR="002C15CE" w:rsidRPr="001D74B9" w:rsidRDefault="002C15CE">
      <w:pPr>
        <w:rPr>
          <w:lang w:val="en-GB"/>
        </w:rPr>
      </w:pPr>
    </w:p>
    <w:p w14:paraId="76CECDBE" w14:textId="77777777" w:rsidR="00AC0C54" w:rsidRPr="001D74B9" w:rsidRDefault="00AC0C54" w:rsidP="00CD407F">
      <w:pPr>
        <w:pStyle w:val="Heading1"/>
        <w:keepNext/>
        <w:keepLines/>
        <w:overflowPunct w:val="0"/>
        <w:autoSpaceDE w:val="0"/>
        <w:autoSpaceDN w:val="0"/>
        <w:adjustRightInd w:val="0"/>
        <w:textAlignment w:val="baseline"/>
        <w:rPr>
          <w:b/>
          <w:lang w:val="en-GB"/>
        </w:rPr>
      </w:pPr>
      <w:r w:rsidRPr="001D74B9">
        <w:rPr>
          <w:b/>
          <w:lang w:val="en-GB"/>
        </w:rPr>
        <w:t>European Social Dialogue</w:t>
      </w:r>
      <w:r w:rsidR="00B25264" w:rsidRPr="001D74B9">
        <w:rPr>
          <w:b/>
          <w:lang w:val="en-GB"/>
        </w:rPr>
        <w:t>:</w:t>
      </w:r>
      <w:r w:rsidRPr="001D74B9">
        <w:rPr>
          <w:b/>
          <w:lang w:val="en-GB"/>
        </w:rPr>
        <w:t xml:space="preserve"> a pillar of the EU social model</w:t>
      </w:r>
    </w:p>
    <w:p w14:paraId="76B7F5E5" w14:textId="77777777" w:rsidR="00D743D9" w:rsidRPr="001D74B9" w:rsidRDefault="00D743D9" w:rsidP="00CD407F">
      <w:pPr>
        <w:keepNext/>
        <w:keepLines/>
        <w:rPr>
          <w:lang w:val="en-GB"/>
        </w:rPr>
      </w:pPr>
    </w:p>
    <w:p w14:paraId="0A614669" w14:textId="77777777" w:rsidR="00AC0C54" w:rsidRPr="001D74B9" w:rsidRDefault="00AC0C54">
      <w:pPr>
        <w:pStyle w:val="Heading2"/>
        <w:rPr>
          <w:rFonts w:eastAsia="Calibri"/>
          <w:lang w:val="en-GB"/>
        </w:rPr>
      </w:pPr>
      <w:r w:rsidRPr="001D74B9">
        <w:rPr>
          <w:rFonts w:eastAsia="Calibri"/>
          <w:lang w:val="en-GB"/>
        </w:rPr>
        <w:t xml:space="preserve">Social dialogue is an inalienable component of the European social model. </w:t>
      </w:r>
      <w:r w:rsidR="00B25264" w:rsidRPr="001D74B9">
        <w:rPr>
          <w:rFonts w:eastAsia="Calibri"/>
          <w:lang w:val="en-GB"/>
        </w:rPr>
        <w:t>While the "</w:t>
      </w:r>
      <w:r w:rsidRPr="001D74B9">
        <w:rPr>
          <w:rFonts w:eastAsia="Calibri"/>
          <w:lang w:val="en-GB"/>
        </w:rPr>
        <w:t>Val Duchesse</w:t>
      </w:r>
      <w:r w:rsidR="00B25264" w:rsidRPr="001D74B9">
        <w:rPr>
          <w:rFonts w:eastAsia="Calibri"/>
          <w:lang w:val="en-GB"/>
        </w:rPr>
        <w:t>"</w:t>
      </w:r>
      <w:r w:rsidRPr="001D74B9">
        <w:rPr>
          <w:rFonts w:eastAsia="Calibri"/>
          <w:lang w:val="en-GB"/>
        </w:rPr>
        <w:t xml:space="preserve"> dialogues in 1985 are considered </w:t>
      </w:r>
      <w:r w:rsidR="00B25264" w:rsidRPr="001D74B9">
        <w:rPr>
          <w:rFonts w:eastAsia="Calibri"/>
          <w:lang w:val="en-GB"/>
        </w:rPr>
        <w:t>to be the starting point</w:t>
      </w:r>
      <w:r w:rsidRPr="001D74B9">
        <w:rPr>
          <w:rFonts w:eastAsia="Calibri"/>
          <w:lang w:val="en-GB"/>
        </w:rPr>
        <w:t xml:space="preserve">, it was the Maastricht </w:t>
      </w:r>
      <w:r w:rsidR="00B25264" w:rsidRPr="001D74B9">
        <w:rPr>
          <w:rFonts w:eastAsia="Calibri"/>
          <w:lang w:val="en-GB"/>
        </w:rPr>
        <w:t xml:space="preserve">Treaty </w:t>
      </w:r>
      <w:r w:rsidRPr="001D74B9">
        <w:rPr>
          <w:rFonts w:eastAsia="Calibri"/>
          <w:lang w:val="en-GB"/>
        </w:rPr>
        <w:t xml:space="preserve">that </w:t>
      </w:r>
      <w:r w:rsidR="00B25264" w:rsidRPr="001D74B9">
        <w:rPr>
          <w:rFonts w:eastAsia="Calibri"/>
          <w:lang w:val="en-GB"/>
        </w:rPr>
        <w:t xml:space="preserve">took on board </w:t>
      </w:r>
      <w:r w:rsidRPr="001D74B9">
        <w:rPr>
          <w:rFonts w:eastAsia="Calibri"/>
          <w:lang w:val="en-GB"/>
        </w:rPr>
        <w:t>the social partners</w:t>
      </w:r>
      <w:r w:rsidR="00B25264" w:rsidRPr="001D74B9">
        <w:rPr>
          <w:rFonts w:eastAsia="Calibri"/>
          <w:lang w:val="en-GB"/>
        </w:rPr>
        <w:t>'</w:t>
      </w:r>
      <w:r w:rsidRPr="001D74B9">
        <w:rPr>
          <w:rFonts w:eastAsia="Calibri"/>
          <w:lang w:val="en-GB"/>
        </w:rPr>
        <w:t xml:space="preserve"> indications </w:t>
      </w:r>
      <w:r w:rsidR="00B25264" w:rsidRPr="001D74B9">
        <w:rPr>
          <w:rFonts w:eastAsia="Calibri"/>
          <w:lang w:val="en-GB"/>
        </w:rPr>
        <w:t xml:space="preserve">with a view to </w:t>
      </w:r>
      <w:r w:rsidRPr="001D74B9">
        <w:rPr>
          <w:rFonts w:eastAsia="Calibri"/>
          <w:lang w:val="en-GB"/>
        </w:rPr>
        <w:t>establish</w:t>
      </w:r>
      <w:r w:rsidR="00B25264" w:rsidRPr="001D74B9">
        <w:rPr>
          <w:rFonts w:eastAsia="Calibri"/>
          <w:lang w:val="en-GB"/>
        </w:rPr>
        <w:t>ing</w:t>
      </w:r>
      <w:r w:rsidRPr="001D74B9">
        <w:rPr>
          <w:rFonts w:eastAsia="Calibri"/>
          <w:lang w:val="en-GB"/>
        </w:rPr>
        <w:t xml:space="preserve"> the European inter-professional social dialogue as we know it.</w:t>
      </w:r>
    </w:p>
    <w:p w14:paraId="50D6D321" w14:textId="77777777" w:rsidR="00150763" w:rsidRPr="001D74B9" w:rsidRDefault="00150763">
      <w:pPr>
        <w:rPr>
          <w:lang w:val="en-GB"/>
        </w:rPr>
      </w:pPr>
    </w:p>
    <w:p w14:paraId="5C6E808A" w14:textId="77777777" w:rsidR="008D34AA" w:rsidRPr="001D74B9" w:rsidRDefault="00AC0C54">
      <w:pPr>
        <w:pStyle w:val="Heading2"/>
        <w:rPr>
          <w:rFonts w:eastAsia="Calibri"/>
          <w:lang w:val="en-GB"/>
        </w:rPr>
      </w:pPr>
      <w:r w:rsidRPr="001D74B9">
        <w:rPr>
          <w:lang w:val="en-GB"/>
        </w:rPr>
        <w:t>As enshrined in the Treaty on the Functioning of the European Union (TFEU)</w:t>
      </w:r>
      <w:r w:rsidR="00806C22" w:rsidRPr="001D74B9">
        <w:rPr>
          <w:rStyle w:val="FootnoteReference"/>
          <w:lang w:val="en-GB"/>
        </w:rPr>
        <w:footnoteReference w:id="9"/>
      </w:r>
      <w:r w:rsidRPr="001D74B9">
        <w:rPr>
          <w:lang w:val="en-GB"/>
        </w:rPr>
        <w:t xml:space="preserve">, the promotion of dialogue between management and labour is recognised as a common objective of the European Union and the Member States. </w:t>
      </w:r>
      <w:r w:rsidRPr="001D74B9">
        <w:rPr>
          <w:rFonts w:eastAsia="Calibri"/>
          <w:lang w:val="en-GB"/>
        </w:rPr>
        <w:t>Social partners at inter-professional or sector</w:t>
      </w:r>
      <w:r w:rsidR="00B25264" w:rsidRPr="001D74B9">
        <w:rPr>
          <w:rFonts w:eastAsia="Calibri"/>
          <w:lang w:val="en-GB"/>
        </w:rPr>
        <w:t>al</w:t>
      </w:r>
      <w:r w:rsidRPr="001D74B9">
        <w:rPr>
          <w:rFonts w:eastAsia="Calibri"/>
          <w:lang w:val="en-GB"/>
        </w:rPr>
        <w:t xml:space="preserve"> level, when acting together and signing agreements, participate in the definition of EU legislation in labour-related matters and its implementation at national level. They do </w:t>
      </w:r>
      <w:r w:rsidR="00B25264" w:rsidRPr="001D74B9">
        <w:rPr>
          <w:rFonts w:eastAsia="Calibri"/>
          <w:lang w:val="en-GB"/>
        </w:rPr>
        <w:t xml:space="preserve">so </w:t>
      </w:r>
      <w:r w:rsidRPr="001D74B9">
        <w:rPr>
          <w:rFonts w:eastAsia="Calibri"/>
          <w:lang w:val="en-GB"/>
        </w:rPr>
        <w:t xml:space="preserve">following the legislative initiative of the Commission (also </w:t>
      </w:r>
      <w:r w:rsidR="002D6295" w:rsidRPr="001D74B9">
        <w:rPr>
          <w:rFonts w:eastAsia="Calibri"/>
          <w:lang w:val="en-GB"/>
        </w:rPr>
        <w:t>supplementing</w:t>
      </w:r>
      <w:r w:rsidRPr="001D74B9">
        <w:rPr>
          <w:rFonts w:eastAsia="Calibri"/>
          <w:lang w:val="en-GB"/>
        </w:rPr>
        <w:t xml:space="preserve"> the European Parliament) or </w:t>
      </w:r>
      <w:r w:rsidR="00B25264" w:rsidRPr="001D74B9">
        <w:rPr>
          <w:rFonts w:eastAsia="Calibri"/>
          <w:lang w:val="en-GB"/>
        </w:rPr>
        <w:t xml:space="preserve">through </w:t>
      </w:r>
      <w:r w:rsidRPr="001D74B9">
        <w:rPr>
          <w:rFonts w:eastAsia="Calibri"/>
          <w:lang w:val="en-GB"/>
        </w:rPr>
        <w:t xml:space="preserve">autonomous initiatives, based on a </w:t>
      </w:r>
      <w:r w:rsidR="00B25264" w:rsidRPr="001D74B9">
        <w:rPr>
          <w:rFonts w:eastAsia="Calibri"/>
          <w:lang w:val="en-GB"/>
        </w:rPr>
        <w:t>three-</w:t>
      </w:r>
      <w:r w:rsidRPr="001D74B9">
        <w:rPr>
          <w:rFonts w:eastAsia="Calibri"/>
          <w:lang w:val="en-GB"/>
        </w:rPr>
        <w:t>year work programme</w:t>
      </w:r>
      <w:r w:rsidR="00057B7F" w:rsidRPr="001D74B9">
        <w:rPr>
          <w:rFonts w:eastAsia="Calibri"/>
          <w:lang w:val="en-GB"/>
        </w:rPr>
        <w:t>, which is defined by the European social partners. Moreover, the TFEU guarantees the role and autonomy of the European Social Partners</w:t>
      </w:r>
      <w:r w:rsidRPr="001D74B9">
        <w:rPr>
          <w:rFonts w:eastAsia="Calibri"/>
          <w:lang w:val="en-GB"/>
        </w:rPr>
        <w:t>.</w:t>
      </w:r>
    </w:p>
    <w:p w14:paraId="17D4EB52" w14:textId="77777777" w:rsidR="008D34AA" w:rsidRPr="001D74B9" w:rsidRDefault="008D34AA">
      <w:pPr>
        <w:rPr>
          <w:rFonts w:eastAsia="Calibri"/>
          <w:lang w:val="en-GB"/>
        </w:rPr>
      </w:pPr>
    </w:p>
    <w:p w14:paraId="5E546ED8" w14:textId="77777777" w:rsidR="00095405" w:rsidRPr="001D74B9" w:rsidRDefault="00CC5E5B">
      <w:pPr>
        <w:pStyle w:val="Heading2"/>
        <w:rPr>
          <w:lang w:val="en-GB"/>
        </w:rPr>
      </w:pPr>
      <w:r w:rsidRPr="001D74B9">
        <w:rPr>
          <w:lang w:val="en-GB"/>
        </w:rPr>
        <w:t>Over the last twenty years, European social dialogue has developed in very uneven ways: progress has been made, but there have also been setbacks. With the onset of the Eurozone crisis in 2009, there was a clear deterioration of European social dialogue as a whole.</w:t>
      </w:r>
    </w:p>
    <w:p w14:paraId="682D4E4D" w14:textId="77777777" w:rsidR="008D34AA" w:rsidRPr="001D74B9" w:rsidRDefault="008D34AA">
      <w:pPr>
        <w:rPr>
          <w:lang w:val="en-GB"/>
        </w:rPr>
      </w:pPr>
    </w:p>
    <w:p w14:paraId="2D21C726" w14:textId="77777777" w:rsidR="00095405" w:rsidRPr="001D74B9" w:rsidRDefault="00095405">
      <w:pPr>
        <w:pStyle w:val="Heading2"/>
        <w:rPr>
          <w:lang w:val="en-GB"/>
        </w:rPr>
      </w:pPr>
      <w:r w:rsidRPr="001D74B9">
        <w:rPr>
          <w:lang w:val="en-GB"/>
        </w:rPr>
        <w:t xml:space="preserve">The EESC </w:t>
      </w:r>
      <w:r w:rsidR="004932C7" w:rsidRPr="001D74B9">
        <w:rPr>
          <w:lang w:val="en-GB"/>
        </w:rPr>
        <w:t>highlights, in</w:t>
      </w:r>
      <w:r w:rsidRPr="001D74B9">
        <w:rPr>
          <w:lang w:val="en-GB"/>
        </w:rPr>
        <w:t xml:space="preserve"> its opinion</w:t>
      </w:r>
      <w:r w:rsidRPr="001D74B9">
        <w:rPr>
          <w:rStyle w:val="FootnoteReference"/>
          <w:lang w:val="en-GB"/>
        </w:rPr>
        <w:footnoteReference w:id="10"/>
      </w:r>
      <w:r w:rsidRPr="001D74B9">
        <w:rPr>
          <w:lang w:val="en-GB"/>
        </w:rPr>
        <w:t xml:space="preserve"> on the 2020 EU Employment Guidelines</w:t>
      </w:r>
      <w:r w:rsidR="004932C7" w:rsidRPr="001D74B9">
        <w:rPr>
          <w:lang w:val="en-GB"/>
        </w:rPr>
        <w:t>,</w:t>
      </w:r>
      <w:r w:rsidRPr="001D74B9">
        <w:rPr>
          <w:lang w:val="en-GB"/>
        </w:rPr>
        <w:t xml:space="preserve"> </w:t>
      </w:r>
      <w:r w:rsidR="00F26407" w:rsidRPr="001D74B9">
        <w:rPr>
          <w:lang w:val="en-GB"/>
        </w:rPr>
        <w:t>Guideline 7: Enhancing the functioning of labour markets and the effectiveness of social dialogue</w:t>
      </w:r>
      <w:r w:rsidRPr="001D74B9">
        <w:rPr>
          <w:lang w:val="en-GB"/>
        </w:rPr>
        <w:t xml:space="preserve">, which </w:t>
      </w:r>
      <w:r w:rsidR="00741485" w:rsidRPr="001D74B9">
        <w:rPr>
          <w:lang w:val="en-GB"/>
        </w:rPr>
        <w:t>states</w:t>
      </w:r>
      <w:r w:rsidRPr="001D74B9">
        <w:rPr>
          <w:lang w:val="en-GB"/>
        </w:rPr>
        <w:t xml:space="preserve"> very clearly </w:t>
      </w:r>
      <w:r w:rsidRPr="001D74B9">
        <w:rPr>
          <w:b/>
          <w:bCs/>
          <w:lang w:val="en-GB"/>
        </w:rPr>
        <w:t>that Member States should foster social dialogue and collective bargaining</w:t>
      </w:r>
      <w:r w:rsidR="001C4DE6" w:rsidRPr="001D74B9">
        <w:rPr>
          <w:b/>
          <w:bCs/>
          <w:lang w:val="en-GB"/>
        </w:rPr>
        <w:t xml:space="preserve"> at all levels</w:t>
      </w:r>
      <w:r w:rsidRPr="001D74B9">
        <w:rPr>
          <w:lang w:val="en-GB"/>
        </w:rPr>
        <w:t xml:space="preserve">. </w:t>
      </w:r>
      <w:r w:rsidR="00741485" w:rsidRPr="001D74B9">
        <w:rPr>
          <w:lang w:val="en-GB"/>
        </w:rPr>
        <w:t>The social partners should be encouraged to negotiate and conclude collective agreements in matters relevant to them, fully respecting their autonomy.</w:t>
      </w:r>
    </w:p>
    <w:p w14:paraId="0AA3A1BA" w14:textId="77777777" w:rsidR="00AC0C54" w:rsidRPr="001D74B9" w:rsidRDefault="00AC0C54">
      <w:pPr>
        <w:pStyle w:val="Heading2"/>
        <w:numPr>
          <w:ilvl w:val="0"/>
          <w:numId w:val="0"/>
        </w:numPr>
        <w:ind w:left="567"/>
        <w:rPr>
          <w:b/>
          <w:lang w:val="en-GB"/>
        </w:rPr>
      </w:pPr>
      <w:r w:rsidRPr="001D74B9">
        <w:rPr>
          <w:strike/>
          <w:lang w:val="en-GB"/>
        </w:rPr>
        <w:t xml:space="preserve"> </w:t>
      </w:r>
    </w:p>
    <w:p w14:paraId="428020C1" w14:textId="77777777" w:rsidR="00AC0C54" w:rsidRPr="001D74B9" w:rsidRDefault="00AC0C54">
      <w:pPr>
        <w:pStyle w:val="Heading2"/>
        <w:rPr>
          <w:lang w:val="en-GB"/>
        </w:rPr>
      </w:pPr>
      <w:r w:rsidRPr="001D74B9">
        <w:rPr>
          <w:lang w:val="en-GB"/>
        </w:rPr>
        <w:t xml:space="preserve">To date, the European social partners, in the context of their regular joint working programmes, have concluded </w:t>
      </w:r>
      <w:r w:rsidR="00304494" w:rsidRPr="001D74B9">
        <w:rPr>
          <w:lang w:val="en-GB"/>
        </w:rPr>
        <w:t>nine</w:t>
      </w:r>
      <w:r w:rsidRPr="001D74B9">
        <w:rPr>
          <w:lang w:val="en-GB"/>
        </w:rPr>
        <w:t xml:space="preserve"> framework agreements. Three of them – regulating parental leave</w:t>
      </w:r>
      <w:r w:rsidR="00037479" w:rsidRPr="001D74B9">
        <w:rPr>
          <w:rStyle w:val="FootnoteReference"/>
          <w:lang w:val="en-GB"/>
        </w:rPr>
        <w:footnoteReference w:id="11"/>
      </w:r>
      <w:r w:rsidRPr="001D74B9">
        <w:rPr>
          <w:lang w:val="en-GB"/>
        </w:rPr>
        <w:t>,</w:t>
      </w:r>
      <w:r w:rsidR="008B19BD" w:rsidRPr="001D74B9">
        <w:rPr>
          <w:lang w:val="en-GB"/>
        </w:rPr>
        <w:t xml:space="preserve"> </w:t>
      </w:r>
      <w:r w:rsidRPr="001D74B9">
        <w:rPr>
          <w:lang w:val="en-GB"/>
        </w:rPr>
        <w:t>part-time work</w:t>
      </w:r>
      <w:r w:rsidR="001A399A" w:rsidRPr="001D74B9">
        <w:rPr>
          <w:rStyle w:val="FootnoteReference"/>
          <w:lang w:val="en-GB"/>
        </w:rPr>
        <w:footnoteReference w:id="12"/>
      </w:r>
      <w:r w:rsidRPr="001D74B9">
        <w:rPr>
          <w:lang w:val="en-GB"/>
        </w:rPr>
        <w:t xml:space="preserve"> and fixed-term work</w:t>
      </w:r>
      <w:r w:rsidR="00421F30" w:rsidRPr="001D74B9">
        <w:rPr>
          <w:rStyle w:val="FootnoteReference"/>
          <w:lang w:val="en-GB"/>
        </w:rPr>
        <w:footnoteReference w:id="13"/>
      </w:r>
      <w:r w:rsidRPr="001D74B9">
        <w:rPr>
          <w:lang w:val="en-GB"/>
        </w:rPr>
        <w:t xml:space="preserve"> – </w:t>
      </w:r>
      <w:r w:rsidR="00F82197" w:rsidRPr="001D74B9">
        <w:rPr>
          <w:lang w:val="en-GB"/>
        </w:rPr>
        <w:t xml:space="preserve">concluded more than 20 years ago, </w:t>
      </w:r>
      <w:r w:rsidRPr="001D74B9">
        <w:rPr>
          <w:lang w:val="en-GB"/>
        </w:rPr>
        <w:t>have been transposed into European directives and now form an integral part of the body of EU law; the other</w:t>
      </w:r>
      <w:r w:rsidR="006E7F7D" w:rsidRPr="001D74B9">
        <w:rPr>
          <w:lang w:val="en-GB"/>
        </w:rPr>
        <w:t>s</w:t>
      </w:r>
      <w:r w:rsidRPr="001D74B9">
        <w:rPr>
          <w:lang w:val="en-GB"/>
        </w:rPr>
        <w:t xml:space="preserve"> are the autonomous agreements</w:t>
      </w:r>
      <w:r w:rsidR="003313CC" w:rsidRPr="001D74B9">
        <w:rPr>
          <w:rStyle w:val="FootnoteReference"/>
          <w:lang w:val="en-GB"/>
        </w:rPr>
        <w:footnoteReference w:id="14"/>
      </w:r>
      <w:r w:rsidRPr="001D74B9">
        <w:rPr>
          <w:lang w:val="en-GB"/>
        </w:rPr>
        <w:t xml:space="preserve"> and frameworks of action</w:t>
      </w:r>
      <w:r w:rsidR="00FC5E8D" w:rsidRPr="001D74B9">
        <w:rPr>
          <w:lang w:val="en-GB"/>
        </w:rPr>
        <w:t>s</w:t>
      </w:r>
      <w:r w:rsidR="00D2567A" w:rsidRPr="001D74B9">
        <w:rPr>
          <w:rStyle w:val="FootnoteReference"/>
          <w:lang w:val="en-GB"/>
        </w:rPr>
        <w:footnoteReference w:id="15"/>
      </w:r>
      <w:r w:rsidRPr="001D74B9">
        <w:rPr>
          <w:lang w:val="en-GB"/>
        </w:rPr>
        <w:t xml:space="preserve"> and a number of </w:t>
      </w:r>
      <w:r w:rsidR="00FC5E8D" w:rsidRPr="001D74B9">
        <w:rPr>
          <w:lang w:val="en-GB"/>
        </w:rPr>
        <w:t xml:space="preserve">other </w:t>
      </w:r>
      <w:r w:rsidRPr="001D74B9">
        <w:rPr>
          <w:lang w:val="en-GB"/>
        </w:rPr>
        <w:t>joint documents.</w:t>
      </w:r>
      <w:r w:rsidR="00FC5E8D" w:rsidRPr="001D74B9">
        <w:rPr>
          <w:lang w:val="en-GB"/>
        </w:rPr>
        <w:t xml:space="preserve"> Autonomous agreements lack direct effect in national labour relations and need to be transposed in</w:t>
      </w:r>
      <w:r w:rsidR="00741485" w:rsidRPr="001D74B9">
        <w:rPr>
          <w:lang w:val="en-GB"/>
        </w:rPr>
        <w:t>to</w:t>
      </w:r>
      <w:r w:rsidR="00FC5E8D" w:rsidRPr="001D74B9">
        <w:rPr>
          <w:lang w:val="en-GB"/>
        </w:rPr>
        <w:t xml:space="preserve"> the domestic legal framework or collective agreements, but social partners at national level are responsible </w:t>
      </w:r>
      <w:r w:rsidR="00741485" w:rsidRPr="001D74B9">
        <w:rPr>
          <w:lang w:val="en-GB"/>
        </w:rPr>
        <w:t>for</w:t>
      </w:r>
      <w:r w:rsidR="00FC5E8D" w:rsidRPr="001D74B9">
        <w:rPr>
          <w:lang w:val="en-GB"/>
        </w:rPr>
        <w:t xml:space="preserve"> </w:t>
      </w:r>
      <w:r w:rsidR="002049F7" w:rsidRPr="001D74B9">
        <w:rPr>
          <w:lang w:val="en-GB"/>
        </w:rPr>
        <w:t xml:space="preserve">a timely, proper </w:t>
      </w:r>
      <w:r w:rsidR="00FC5E8D" w:rsidRPr="001D74B9">
        <w:rPr>
          <w:lang w:val="en-GB"/>
        </w:rPr>
        <w:t xml:space="preserve">and </w:t>
      </w:r>
      <w:r w:rsidR="009E6D5F" w:rsidRPr="001D74B9">
        <w:rPr>
          <w:lang w:val="en-GB"/>
        </w:rPr>
        <w:t xml:space="preserve">European-wide </w:t>
      </w:r>
      <w:r w:rsidR="00FC5E8D" w:rsidRPr="001D74B9">
        <w:rPr>
          <w:lang w:val="en-GB"/>
        </w:rPr>
        <w:t xml:space="preserve">coordinated </w:t>
      </w:r>
      <w:r w:rsidR="009E6D5F" w:rsidRPr="001D74B9">
        <w:rPr>
          <w:lang w:val="en-GB"/>
        </w:rPr>
        <w:t>implementation</w:t>
      </w:r>
      <w:r w:rsidR="00FC5E8D" w:rsidRPr="001D74B9">
        <w:rPr>
          <w:lang w:val="en-GB"/>
        </w:rPr>
        <w:t>.</w:t>
      </w:r>
    </w:p>
    <w:p w14:paraId="54ADBBDC" w14:textId="77777777" w:rsidR="001F1BF0" w:rsidRPr="001D74B9" w:rsidRDefault="001F1BF0">
      <w:pPr>
        <w:rPr>
          <w:lang w:val="en-GB"/>
        </w:rPr>
      </w:pPr>
    </w:p>
    <w:p w14:paraId="280CD43E" w14:textId="77777777" w:rsidR="001F1BF0" w:rsidRPr="001D74B9" w:rsidRDefault="001F1BF0">
      <w:pPr>
        <w:pStyle w:val="Heading2"/>
        <w:rPr>
          <w:lang w:val="en-GB"/>
        </w:rPr>
      </w:pPr>
      <w:r w:rsidRPr="001D74B9">
        <w:rPr>
          <w:lang w:val="en-GB"/>
        </w:rPr>
        <w:t xml:space="preserve">In 2020, the social partners reached an Autonomous Agreement on Digitalisation. </w:t>
      </w:r>
      <w:r w:rsidR="00A43C1D" w:rsidRPr="001D74B9">
        <w:rPr>
          <w:lang w:val="en-GB"/>
        </w:rPr>
        <w:t>This</w:t>
      </w:r>
      <w:r w:rsidRPr="001D74B9">
        <w:rPr>
          <w:lang w:val="en-GB"/>
        </w:rPr>
        <w:t xml:space="preserve"> calls for the conclusion of a digital change strategy that ensures that both enterprise and workers benefit from the introduction of digital technology (skills development, training programmes associated with digital change at work and measures to address the modaliti</w:t>
      </w:r>
      <w:r w:rsidR="00364729" w:rsidRPr="001D74B9">
        <w:rPr>
          <w:lang w:val="en-GB"/>
        </w:rPr>
        <w:t xml:space="preserve">es </w:t>
      </w:r>
      <w:r w:rsidRPr="001D74B9">
        <w:rPr>
          <w:lang w:val="en-GB"/>
        </w:rPr>
        <w:t>of connecting and disconnecting).</w:t>
      </w:r>
    </w:p>
    <w:p w14:paraId="0F3728E4" w14:textId="77777777" w:rsidR="001F1BF0" w:rsidRPr="001D74B9" w:rsidRDefault="001F1BF0" w:rsidP="00CD407F">
      <w:pPr>
        <w:rPr>
          <w:lang w:val="en-GB"/>
        </w:rPr>
      </w:pPr>
    </w:p>
    <w:p w14:paraId="5228688D" w14:textId="77777777" w:rsidR="003B7000" w:rsidRPr="001D74B9" w:rsidRDefault="001F1BF0">
      <w:pPr>
        <w:pStyle w:val="Heading2"/>
        <w:rPr>
          <w:lang w:val="en-GB"/>
        </w:rPr>
      </w:pPr>
      <w:r w:rsidRPr="001D74B9">
        <w:rPr>
          <w:lang w:val="en-GB"/>
        </w:rPr>
        <w:t xml:space="preserve">The sub-group of the Social Dialogue Committee on the implementation of autonomous social dialogue instruments supporting </w:t>
      </w:r>
      <w:r w:rsidR="00A97098" w:rsidRPr="001D74B9">
        <w:rPr>
          <w:lang w:val="en-GB"/>
        </w:rPr>
        <w:t xml:space="preserve">the </w:t>
      </w:r>
      <w:r w:rsidRPr="001D74B9">
        <w:rPr>
          <w:lang w:val="en-GB"/>
        </w:rPr>
        <w:t xml:space="preserve">capacity-building of social partner organisations, should look at the need for closer and more intense interaction and linkages between </w:t>
      </w:r>
      <w:r w:rsidR="00B84633" w:rsidRPr="001D74B9">
        <w:rPr>
          <w:lang w:val="en-GB"/>
        </w:rPr>
        <w:t xml:space="preserve">the social partners at </w:t>
      </w:r>
      <w:r w:rsidRPr="001D74B9">
        <w:rPr>
          <w:lang w:val="en-GB"/>
        </w:rPr>
        <w:t xml:space="preserve">the European and national levels. In this context, the European social partners have committed to step up their efforts to address the different obstacles </w:t>
      </w:r>
      <w:r w:rsidR="00B2341F" w:rsidRPr="001D74B9">
        <w:rPr>
          <w:lang w:val="en-GB"/>
        </w:rPr>
        <w:t>to</w:t>
      </w:r>
      <w:r w:rsidRPr="001D74B9">
        <w:rPr>
          <w:lang w:val="en-GB"/>
        </w:rPr>
        <w:t xml:space="preserve"> the implementation of their autonomous agreements, which should be closely monitored by the EU in order to targe</w:t>
      </w:r>
      <w:r w:rsidR="005304C5" w:rsidRPr="001D74B9">
        <w:rPr>
          <w:lang w:val="en-GB"/>
        </w:rPr>
        <w:t>t specific support initiatives.</w:t>
      </w:r>
    </w:p>
    <w:p w14:paraId="733FCC20" w14:textId="77777777" w:rsidR="003B7000" w:rsidRPr="001D74B9" w:rsidRDefault="003B7000">
      <w:pPr>
        <w:rPr>
          <w:lang w:val="en-GB"/>
        </w:rPr>
      </w:pPr>
    </w:p>
    <w:p w14:paraId="7186DED5" w14:textId="77777777" w:rsidR="00520616" w:rsidRPr="001D74B9" w:rsidRDefault="00AC0C54">
      <w:pPr>
        <w:pStyle w:val="Heading2"/>
        <w:rPr>
          <w:lang w:val="en-GB"/>
        </w:rPr>
      </w:pPr>
      <w:r w:rsidRPr="001D74B9">
        <w:rPr>
          <w:lang w:val="en-GB"/>
        </w:rPr>
        <w:t xml:space="preserve">Finally, six joint work programmes have been negotiated. The </w:t>
      </w:r>
      <w:r w:rsidR="00063541" w:rsidRPr="001D74B9">
        <w:rPr>
          <w:lang w:val="en-GB"/>
        </w:rPr>
        <w:t>most recent</w:t>
      </w:r>
      <w:r w:rsidR="00136AD6" w:rsidRPr="001D74B9">
        <w:rPr>
          <w:rStyle w:val="FootnoteReference"/>
          <w:lang w:val="en-GB"/>
        </w:rPr>
        <w:footnoteReference w:id="16"/>
      </w:r>
      <w:r w:rsidRPr="001D74B9">
        <w:rPr>
          <w:lang w:val="en-GB"/>
        </w:rPr>
        <w:t xml:space="preserve"> supports the objectives of the 2016 quadripartite statement on </w:t>
      </w:r>
      <w:r w:rsidRPr="001D74B9">
        <w:rPr>
          <w:i/>
          <w:lang w:val="en-GB"/>
        </w:rPr>
        <w:t>A New Start for Social Dialogue</w:t>
      </w:r>
      <w:r w:rsidR="00D979E6" w:rsidRPr="001D74B9">
        <w:rPr>
          <w:rStyle w:val="FootnoteReference"/>
          <w:lang w:val="en-GB"/>
        </w:rPr>
        <w:footnoteReference w:id="17"/>
      </w:r>
      <w:r w:rsidR="00D979E6" w:rsidRPr="001D74B9">
        <w:rPr>
          <w:lang w:val="en-GB"/>
        </w:rPr>
        <w:t xml:space="preserve"> </w:t>
      </w:r>
      <w:r w:rsidR="00063541" w:rsidRPr="001D74B9">
        <w:rPr>
          <w:lang w:val="en-GB"/>
        </w:rPr>
        <w:t xml:space="preserve">in order </w:t>
      </w:r>
      <w:r w:rsidRPr="001D74B9">
        <w:rPr>
          <w:lang w:val="en-GB"/>
        </w:rPr>
        <w:t>to</w:t>
      </w:r>
      <w:r w:rsidR="00063541" w:rsidRPr="001D74B9">
        <w:rPr>
          <w:lang w:val="en-GB"/>
        </w:rPr>
        <w:t>:</w:t>
      </w:r>
      <w:r w:rsidRPr="001D74B9">
        <w:rPr>
          <w:lang w:val="en-GB"/>
        </w:rPr>
        <w:t xml:space="preserve"> strengthen social dialogue at European and national levels; </w:t>
      </w:r>
      <w:r w:rsidR="00E57A4D" w:rsidRPr="001D74B9">
        <w:rPr>
          <w:lang w:val="en-GB"/>
        </w:rPr>
        <w:t>to negotiate an autonomous agreement on digitalisation; to</w:t>
      </w:r>
      <w:r w:rsidR="006B0E34" w:rsidRPr="001D74B9">
        <w:rPr>
          <w:lang w:val="en-GB"/>
        </w:rPr>
        <w:t xml:space="preserve"> increase </w:t>
      </w:r>
      <w:r w:rsidRPr="001D74B9">
        <w:rPr>
          <w:lang w:val="en-GB"/>
        </w:rPr>
        <w:t>capacity building support to national social partners, notably th</w:t>
      </w:r>
      <w:r w:rsidR="00C94858" w:rsidRPr="001D74B9">
        <w:rPr>
          <w:lang w:val="en-GB"/>
        </w:rPr>
        <w:t>rough the European Social Fund</w:t>
      </w:r>
      <w:r w:rsidR="003639E6" w:rsidRPr="001D74B9">
        <w:rPr>
          <w:lang w:val="en-GB"/>
        </w:rPr>
        <w:t>, and to foster the role and influence of national social partners in the European Semester</w:t>
      </w:r>
      <w:r w:rsidR="00C94858" w:rsidRPr="001D74B9">
        <w:rPr>
          <w:lang w:val="en-GB"/>
        </w:rPr>
        <w:t>.</w:t>
      </w:r>
    </w:p>
    <w:p w14:paraId="592D142B" w14:textId="77777777" w:rsidR="003B7000" w:rsidRPr="001D74B9" w:rsidRDefault="003B7000">
      <w:pPr>
        <w:rPr>
          <w:lang w:val="en-GB"/>
        </w:rPr>
      </w:pPr>
    </w:p>
    <w:p w14:paraId="316BA4BE" w14:textId="77777777" w:rsidR="00520616" w:rsidRPr="001D74B9" w:rsidRDefault="00520616">
      <w:pPr>
        <w:pStyle w:val="Heading2"/>
        <w:rPr>
          <w:lang w:val="en-GB"/>
        </w:rPr>
      </w:pPr>
      <w:r w:rsidRPr="001D74B9">
        <w:rPr>
          <w:lang w:val="en-GB"/>
        </w:rPr>
        <w:t>The EESC encourages European social partners to make use of all the potential that the Treaty offers them (</w:t>
      </w:r>
      <w:r w:rsidR="00402682" w:rsidRPr="001D74B9">
        <w:rPr>
          <w:lang w:val="en-GB"/>
        </w:rPr>
        <w:t xml:space="preserve">Article </w:t>
      </w:r>
      <w:r w:rsidRPr="001D74B9">
        <w:rPr>
          <w:lang w:val="en-GB"/>
        </w:rPr>
        <w:t xml:space="preserve">154 TFEU) to engage in negotiations (which can be the basis of a renewed European framework </w:t>
      </w:r>
      <w:r w:rsidR="00402682" w:rsidRPr="001D74B9">
        <w:rPr>
          <w:lang w:val="en-GB"/>
        </w:rPr>
        <w:t>i</w:t>
      </w:r>
      <w:r w:rsidRPr="001D74B9">
        <w:rPr>
          <w:lang w:val="en-GB"/>
        </w:rPr>
        <w:t>n social and labour</w:t>
      </w:r>
      <w:r w:rsidR="00402682" w:rsidRPr="001D74B9">
        <w:rPr>
          <w:lang w:val="en-GB"/>
        </w:rPr>
        <w:t>-related</w:t>
      </w:r>
      <w:r w:rsidRPr="001D74B9">
        <w:rPr>
          <w:lang w:val="en-GB"/>
        </w:rPr>
        <w:t xml:space="preserve"> areas) to address the new challenges arising from </w:t>
      </w:r>
      <w:r w:rsidR="00402682" w:rsidRPr="001D74B9">
        <w:rPr>
          <w:lang w:val="en-GB"/>
        </w:rPr>
        <w:t>rapid</w:t>
      </w:r>
      <w:r w:rsidRPr="001D74B9">
        <w:rPr>
          <w:lang w:val="en-GB"/>
        </w:rPr>
        <w:t xml:space="preserve"> changes in the labour market and </w:t>
      </w:r>
      <w:r w:rsidR="00402682" w:rsidRPr="001D74B9">
        <w:rPr>
          <w:lang w:val="en-GB"/>
        </w:rPr>
        <w:t xml:space="preserve">to </w:t>
      </w:r>
      <w:r w:rsidR="009B3866" w:rsidRPr="001D74B9">
        <w:rPr>
          <w:lang w:val="en-GB"/>
        </w:rPr>
        <w:t xml:space="preserve">anticipate </w:t>
      </w:r>
      <w:r w:rsidRPr="001D74B9">
        <w:rPr>
          <w:lang w:val="en-GB"/>
        </w:rPr>
        <w:t xml:space="preserve">the legislative role of the Commission and the Council </w:t>
      </w:r>
      <w:r w:rsidR="00402682" w:rsidRPr="001D74B9">
        <w:rPr>
          <w:lang w:val="en-GB"/>
        </w:rPr>
        <w:t>i</w:t>
      </w:r>
      <w:r w:rsidRPr="001D74B9">
        <w:rPr>
          <w:lang w:val="en-GB"/>
        </w:rPr>
        <w:t>n this domain</w:t>
      </w:r>
      <w:r w:rsidR="00DF7566" w:rsidRPr="001D74B9">
        <w:rPr>
          <w:lang w:val="en-GB"/>
        </w:rPr>
        <w:t>.</w:t>
      </w:r>
    </w:p>
    <w:p w14:paraId="099BCED0" w14:textId="77777777" w:rsidR="00C94858" w:rsidRPr="001D74B9" w:rsidRDefault="00C94858">
      <w:pPr>
        <w:rPr>
          <w:lang w:val="en-GB"/>
        </w:rPr>
      </w:pPr>
    </w:p>
    <w:p w14:paraId="3959C779" w14:textId="77777777" w:rsidR="00105425" w:rsidRPr="001D74B9" w:rsidRDefault="00AC0C54">
      <w:pPr>
        <w:pStyle w:val="Heading2"/>
        <w:rPr>
          <w:lang w:val="en-GB"/>
        </w:rPr>
      </w:pPr>
      <w:r w:rsidRPr="001D74B9">
        <w:rPr>
          <w:lang w:val="en-GB"/>
        </w:rPr>
        <w:t>The European sector social dialogue is legally grounded on Decision 98/500/EC of 20 May 1998</w:t>
      </w:r>
      <w:r w:rsidR="00BD5324" w:rsidRPr="001D74B9">
        <w:rPr>
          <w:rStyle w:val="FootnoteReference"/>
          <w:lang w:val="en-GB"/>
        </w:rPr>
        <w:footnoteReference w:id="18"/>
      </w:r>
      <w:r w:rsidRPr="001D74B9">
        <w:rPr>
          <w:lang w:val="en-GB"/>
        </w:rPr>
        <w:t xml:space="preserve">, </w:t>
      </w:r>
      <w:r w:rsidR="00C128B6" w:rsidRPr="001D74B9">
        <w:rPr>
          <w:lang w:val="en-GB"/>
        </w:rPr>
        <w:t>establishing</w:t>
      </w:r>
      <w:r w:rsidRPr="001D74B9">
        <w:rPr>
          <w:lang w:val="en-GB"/>
        </w:rPr>
        <w:t xml:space="preserve"> Sectoral Social Dialogue Committees (SSDCs). Currently, there are 43 sectoral social dialogue committees, spanning key sectors</w:t>
      </w:r>
      <w:r w:rsidR="00571925" w:rsidRPr="001D74B9">
        <w:rPr>
          <w:rStyle w:val="FootnoteReference"/>
          <w:lang w:val="en-GB"/>
        </w:rPr>
        <w:footnoteReference w:id="19"/>
      </w:r>
      <w:r w:rsidRPr="001D74B9">
        <w:rPr>
          <w:lang w:val="en-GB"/>
        </w:rPr>
        <w:t xml:space="preserve"> and covering about the 80% of the EU workforce</w:t>
      </w:r>
      <w:r w:rsidR="00074864" w:rsidRPr="001D74B9">
        <w:rPr>
          <w:rStyle w:val="FootnoteReference"/>
          <w:lang w:val="en-GB"/>
        </w:rPr>
        <w:footnoteReference w:id="20"/>
      </w:r>
      <w:r w:rsidRPr="001D74B9">
        <w:rPr>
          <w:lang w:val="en-GB"/>
        </w:rPr>
        <w:t>.</w:t>
      </w:r>
      <w:r w:rsidR="00105425" w:rsidRPr="001D74B9">
        <w:rPr>
          <w:lang w:val="en-GB"/>
        </w:rPr>
        <w:t xml:space="preserve"> A number of agreements were implemented by Council decisions, but the European Commission did not submit to the Council – in order to turn a sectoral agreement into a directive – two proposals coming from </w:t>
      </w:r>
      <w:r w:rsidR="002A3E93" w:rsidRPr="001D74B9">
        <w:rPr>
          <w:lang w:val="en-GB"/>
        </w:rPr>
        <w:t xml:space="preserve">the </w:t>
      </w:r>
      <w:r w:rsidR="00105425" w:rsidRPr="001D74B9">
        <w:rPr>
          <w:lang w:val="en-GB"/>
        </w:rPr>
        <w:t>social partners: the agreement reached in the hairdressing sector (2012) and the agreement on information and consultation rights in central/federal government (2015). This was an unprecedented step</w:t>
      </w:r>
      <w:r w:rsidR="002A3E93" w:rsidRPr="001D74B9">
        <w:rPr>
          <w:lang w:val="en-GB"/>
        </w:rPr>
        <w:t>,</w:t>
      </w:r>
      <w:r w:rsidR="00105425" w:rsidRPr="001D74B9">
        <w:rPr>
          <w:lang w:val="en-GB"/>
        </w:rPr>
        <w:t xml:space="preserve"> which has </w:t>
      </w:r>
      <w:r w:rsidR="002A3E93" w:rsidRPr="001D74B9">
        <w:rPr>
          <w:lang w:val="en-GB"/>
        </w:rPr>
        <w:t>led to</w:t>
      </w:r>
      <w:r w:rsidR="00105425" w:rsidRPr="001D74B9">
        <w:rPr>
          <w:lang w:val="en-GB"/>
        </w:rPr>
        <w:t xml:space="preserve"> a case </w:t>
      </w:r>
      <w:r w:rsidR="002A3E93" w:rsidRPr="001D74B9">
        <w:rPr>
          <w:lang w:val="en-GB"/>
        </w:rPr>
        <w:t>before</w:t>
      </w:r>
      <w:r w:rsidR="00105425" w:rsidRPr="001D74B9">
        <w:rPr>
          <w:lang w:val="en-GB"/>
        </w:rPr>
        <w:t xml:space="preserve"> the ECJ.</w:t>
      </w:r>
    </w:p>
    <w:p w14:paraId="7F3716A2" w14:textId="77777777" w:rsidR="00AC0C54" w:rsidRPr="001D74B9" w:rsidRDefault="00AC0C54">
      <w:pPr>
        <w:pStyle w:val="Heading2"/>
        <w:numPr>
          <w:ilvl w:val="0"/>
          <w:numId w:val="0"/>
        </w:numPr>
        <w:ind w:left="567"/>
        <w:rPr>
          <w:lang w:val="en-GB"/>
        </w:rPr>
      </w:pPr>
    </w:p>
    <w:p w14:paraId="7F6C323E" w14:textId="77777777" w:rsidR="006A7885" w:rsidRPr="001D74B9" w:rsidRDefault="006A7885">
      <w:pPr>
        <w:pStyle w:val="Heading2"/>
        <w:rPr>
          <w:lang w:val="en-GB"/>
        </w:rPr>
      </w:pPr>
      <w:r w:rsidRPr="001D74B9">
        <w:rPr>
          <w:lang w:val="en-GB"/>
        </w:rPr>
        <w:t>Clear processes for negotiating binding EU</w:t>
      </w:r>
      <w:r w:rsidR="00E45133" w:rsidRPr="001D74B9">
        <w:rPr>
          <w:lang w:val="en-GB"/>
        </w:rPr>
        <w:t>-</w:t>
      </w:r>
      <w:r w:rsidRPr="001D74B9">
        <w:rPr>
          <w:lang w:val="en-GB"/>
        </w:rPr>
        <w:t>level social partner agreements in accordance with the Treaties (</w:t>
      </w:r>
      <w:r w:rsidR="00E45133" w:rsidRPr="001D74B9">
        <w:rPr>
          <w:lang w:val="en-GB"/>
        </w:rPr>
        <w:t>Articles</w:t>
      </w:r>
      <w:r w:rsidRPr="001D74B9">
        <w:rPr>
          <w:lang w:val="en-GB"/>
        </w:rPr>
        <w:t xml:space="preserve"> 153-155) are needed</w:t>
      </w:r>
      <w:r w:rsidR="00E45133" w:rsidRPr="001D74B9">
        <w:rPr>
          <w:lang w:val="en-GB"/>
        </w:rPr>
        <w:t>,</w:t>
      </w:r>
      <w:r w:rsidRPr="001D74B9">
        <w:rPr>
          <w:lang w:val="en-GB"/>
        </w:rPr>
        <w:t xml:space="preserve"> together with transparent criteria that respect the autonomy of the social partners when dealing with the outcome of such negotiations in secto</w:t>
      </w:r>
      <w:r w:rsidR="00E45133" w:rsidRPr="001D74B9">
        <w:rPr>
          <w:lang w:val="en-GB"/>
        </w:rPr>
        <w:t>r-specific</w:t>
      </w:r>
      <w:r w:rsidRPr="001D74B9">
        <w:rPr>
          <w:lang w:val="en-GB"/>
        </w:rPr>
        <w:t xml:space="preserve"> and cross-sectoral negotiations. Clarification should be </w:t>
      </w:r>
      <w:r w:rsidR="00E45133" w:rsidRPr="001D74B9">
        <w:rPr>
          <w:lang w:val="en-GB"/>
        </w:rPr>
        <w:t>provided</w:t>
      </w:r>
      <w:r w:rsidRPr="001D74B9">
        <w:rPr>
          <w:lang w:val="en-GB"/>
        </w:rPr>
        <w:t xml:space="preserve"> by the Commission</w:t>
      </w:r>
      <w:r w:rsidR="00E45133" w:rsidRPr="001D74B9">
        <w:rPr>
          <w:lang w:val="en-GB"/>
        </w:rPr>
        <w:t>,</w:t>
      </w:r>
      <w:r w:rsidRPr="001D74B9">
        <w:rPr>
          <w:lang w:val="en-GB"/>
        </w:rPr>
        <w:t xml:space="preserve"> in cooperation with all social partners at EU level</w:t>
      </w:r>
      <w:r w:rsidR="00E45133" w:rsidRPr="001D74B9">
        <w:rPr>
          <w:lang w:val="en-GB"/>
        </w:rPr>
        <w:t>,</w:t>
      </w:r>
      <w:r w:rsidRPr="001D74B9">
        <w:rPr>
          <w:lang w:val="en-GB"/>
        </w:rPr>
        <w:t xml:space="preserve"> in order to avoid a</w:t>
      </w:r>
      <w:r w:rsidR="00E45133" w:rsidRPr="001D74B9">
        <w:rPr>
          <w:lang w:val="en-GB"/>
        </w:rPr>
        <w:t>n</w:t>
      </w:r>
      <w:r w:rsidRPr="001D74B9">
        <w:rPr>
          <w:lang w:val="en-GB"/>
        </w:rPr>
        <w:t xml:space="preserve"> </w:t>
      </w:r>
      <w:r w:rsidR="00E45133" w:rsidRPr="001D74B9">
        <w:rPr>
          <w:lang w:val="en-GB"/>
        </w:rPr>
        <w:t>un</w:t>
      </w:r>
      <w:r w:rsidRPr="001D74B9">
        <w:rPr>
          <w:lang w:val="en-GB"/>
        </w:rPr>
        <w:t>clear margin of discretion by the EC in dealing with the outcome of these negotiations.</w:t>
      </w:r>
    </w:p>
    <w:p w14:paraId="74D07C37" w14:textId="77777777" w:rsidR="00C94858" w:rsidRPr="001D74B9" w:rsidRDefault="00C94858">
      <w:pPr>
        <w:rPr>
          <w:lang w:val="en-GB"/>
        </w:rPr>
      </w:pPr>
    </w:p>
    <w:p w14:paraId="7D3A4862" w14:textId="77777777" w:rsidR="00AC0C54" w:rsidRPr="001D74B9" w:rsidRDefault="00AC0C54">
      <w:pPr>
        <w:pStyle w:val="Heading2"/>
        <w:rPr>
          <w:iCs/>
          <w:lang w:val="en-GB"/>
        </w:rPr>
      </w:pPr>
      <w:r w:rsidRPr="001D74B9">
        <w:rPr>
          <w:iCs/>
          <w:lang w:val="en-GB"/>
        </w:rPr>
        <w:t xml:space="preserve">The EU social dialogue system </w:t>
      </w:r>
      <w:r w:rsidR="00C128B6" w:rsidRPr="001D74B9">
        <w:rPr>
          <w:iCs/>
          <w:lang w:val="en-GB"/>
        </w:rPr>
        <w:t xml:space="preserve">also </w:t>
      </w:r>
      <w:r w:rsidRPr="001D74B9">
        <w:rPr>
          <w:iCs/>
          <w:lang w:val="en-GB"/>
        </w:rPr>
        <w:t xml:space="preserve">concerns </w:t>
      </w:r>
      <w:r w:rsidR="007A1367" w:rsidRPr="001D74B9">
        <w:rPr>
          <w:iCs/>
          <w:lang w:val="en-GB"/>
        </w:rPr>
        <w:t xml:space="preserve">European </w:t>
      </w:r>
      <w:r w:rsidRPr="001D74B9">
        <w:rPr>
          <w:iCs/>
          <w:lang w:val="en-GB"/>
        </w:rPr>
        <w:t xml:space="preserve">companies operating in </w:t>
      </w:r>
      <w:r w:rsidR="00C128B6" w:rsidRPr="001D74B9">
        <w:rPr>
          <w:iCs/>
          <w:lang w:val="en-GB"/>
        </w:rPr>
        <w:t xml:space="preserve">several </w:t>
      </w:r>
      <w:r w:rsidRPr="001D74B9">
        <w:rPr>
          <w:iCs/>
          <w:lang w:val="en-GB"/>
        </w:rPr>
        <w:t xml:space="preserve">EU </w:t>
      </w:r>
      <w:r w:rsidR="00C128B6" w:rsidRPr="001D74B9">
        <w:rPr>
          <w:iCs/>
          <w:lang w:val="en-GB"/>
        </w:rPr>
        <w:t>M</w:t>
      </w:r>
      <w:r w:rsidRPr="001D74B9">
        <w:rPr>
          <w:iCs/>
          <w:lang w:val="en-GB"/>
        </w:rPr>
        <w:t xml:space="preserve">ember </w:t>
      </w:r>
      <w:r w:rsidR="00C128B6" w:rsidRPr="001D74B9">
        <w:rPr>
          <w:iCs/>
          <w:lang w:val="en-GB"/>
        </w:rPr>
        <w:t>S</w:t>
      </w:r>
      <w:r w:rsidRPr="001D74B9">
        <w:rPr>
          <w:iCs/>
          <w:lang w:val="en-GB"/>
        </w:rPr>
        <w:t xml:space="preserve">tates and is mainly structured around </w:t>
      </w:r>
      <w:r w:rsidR="0058477A" w:rsidRPr="001D74B9">
        <w:rPr>
          <w:iCs/>
          <w:lang w:val="en-GB"/>
        </w:rPr>
        <w:t>workers</w:t>
      </w:r>
      <w:r w:rsidR="00C128B6" w:rsidRPr="001D74B9">
        <w:rPr>
          <w:iCs/>
          <w:lang w:val="en-GB"/>
        </w:rPr>
        <w:t xml:space="preserve">' </w:t>
      </w:r>
      <w:r w:rsidRPr="001D74B9">
        <w:rPr>
          <w:iCs/>
          <w:lang w:val="en-GB"/>
        </w:rPr>
        <w:t>right</w:t>
      </w:r>
      <w:r w:rsidR="007A1367" w:rsidRPr="001D74B9">
        <w:rPr>
          <w:iCs/>
          <w:lang w:val="en-GB"/>
        </w:rPr>
        <w:t>s</w:t>
      </w:r>
      <w:r w:rsidRPr="001D74B9">
        <w:rPr>
          <w:iCs/>
          <w:lang w:val="en-GB"/>
        </w:rPr>
        <w:t xml:space="preserve"> to information and consultation</w:t>
      </w:r>
      <w:r w:rsidR="007A1367" w:rsidRPr="001D74B9">
        <w:rPr>
          <w:rStyle w:val="FootnoteReference"/>
          <w:iCs/>
          <w:lang w:val="en-GB"/>
        </w:rPr>
        <w:footnoteReference w:id="21"/>
      </w:r>
      <w:r w:rsidRPr="001D74B9">
        <w:rPr>
          <w:iCs/>
          <w:lang w:val="en-GB"/>
        </w:rPr>
        <w:t xml:space="preserve">. </w:t>
      </w:r>
      <w:r w:rsidR="008B19BD" w:rsidRPr="001D74B9">
        <w:rPr>
          <w:iCs/>
          <w:lang w:val="en-GB"/>
        </w:rPr>
        <w:t>T</w:t>
      </w:r>
      <w:r w:rsidRPr="001D74B9">
        <w:rPr>
          <w:iCs/>
          <w:lang w:val="en-GB"/>
        </w:rPr>
        <w:t>he most important tool created by the EU legislator in order to ensure the effective and constant enforcement of these rights is represented by the European Works Councils</w:t>
      </w:r>
      <w:r w:rsidR="007A1367" w:rsidRPr="001D74B9">
        <w:rPr>
          <w:iCs/>
          <w:lang w:val="en-GB"/>
        </w:rPr>
        <w:t xml:space="preserve"> Directive</w:t>
      </w:r>
      <w:r w:rsidRPr="001D74B9">
        <w:rPr>
          <w:iCs/>
          <w:lang w:val="en-GB"/>
        </w:rPr>
        <w:t xml:space="preserve"> (EWCs)</w:t>
      </w:r>
      <w:r w:rsidR="003A3669" w:rsidRPr="001D74B9">
        <w:rPr>
          <w:rStyle w:val="FootnoteReference"/>
          <w:iCs/>
          <w:lang w:val="en-GB"/>
        </w:rPr>
        <w:footnoteReference w:id="22"/>
      </w:r>
      <w:r w:rsidRPr="001D74B9">
        <w:rPr>
          <w:iCs/>
          <w:lang w:val="en-GB"/>
        </w:rPr>
        <w:t>.</w:t>
      </w:r>
    </w:p>
    <w:p w14:paraId="4A242B6A" w14:textId="77777777" w:rsidR="00C128B6" w:rsidRPr="001D74B9" w:rsidRDefault="00C128B6">
      <w:pPr>
        <w:rPr>
          <w:lang w:val="en-GB"/>
        </w:rPr>
      </w:pPr>
    </w:p>
    <w:p w14:paraId="68A2514E" w14:textId="77777777" w:rsidR="00AC0C54" w:rsidRPr="001D74B9" w:rsidRDefault="00F93DA0">
      <w:pPr>
        <w:pStyle w:val="Heading2"/>
        <w:rPr>
          <w:lang w:val="en-GB"/>
        </w:rPr>
      </w:pPr>
      <w:r w:rsidRPr="001D74B9">
        <w:rPr>
          <w:lang w:val="en-GB"/>
        </w:rPr>
        <w:t>More than 1</w:t>
      </w:r>
      <w:r w:rsidR="008B19BD" w:rsidRPr="001D74B9">
        <w:rPr>
          <w:lang w:val="en-GB"/>
        </w:rPr>
        <w:t> </w:t>
      </w:r>
      <w:r w:rsidRPr="001D74B9">
        <w:rPr>
          <w:lang w:val="en-GB"/>
        </w:rPr>
        <w:t xml:space="preserve">100 </w:t>
      </w:r>
      <w:r w:rsidR="00AC0C54" w:rsidRPr="001D74B9">
        <w:rPr>
          <w:lang w:val="en-GB"/>
        </w:rPr>
        <w:t xml:space="preserve">agreements have been negotiated to establish or renew the functioning of EWCs and other cross-border </w:t>
      </w:r>
      <w:r w:rsidR="004C1B60" w:rsidRPr="001D74B9">
        <w:rPr>
          <w:lang w:val="en-GB"/>
        </w:rPr>
        <w:t>workers</w:t>
      </w:r>
      <w:r w:rsidR="00A90B16" w:rsidRPr="001D74B9">
        <w:rPr>
          <w:lang w:val="en-GB"/>
        </w:rPr>
        <w:t>'</w:t>
      </w:r>
      <w:r w:rsidR="00AC0C54" w:rsidRPr="001D74B9">
        <w:rPr>
          <w:lang w:val="en-GB"/>
        </w:rPr>
        <w:t xml:space="preserve"> representative bodies (such as for the SE</w:t>
      </w:r>
      <w:r w:rsidR="00C526B4" w:rsidRPr="001D74B9">
        <w:rPr>
          <w:lang w:val="en-GB"/>
        </w:rPr>
        <w:t xml:space="preserve"> – European company</w:t>
      </w:r>
      <w:r w:rsidR="00AC0C54" w:rsidRPr="001D74B9">
        <w:rPr>
          <w:lang w:val="en-GB"/>
        </w:rPr>
        <w:t xml:space="preserve"> or European cooperatives). </w:t>
      </w:r>
      <w:r w:rsidR="00C526B4" w:rsidRPr="001D74B9">
        <w:rPr>
          <w:lang w:val="en-GB"/>
        </w:rPr>
        <w:t>More recently</w:t>
      </w:r>
      <w:r w:rsidR="00392A25" w:rsidRPr="001D74B9">
        <w:rPr>
          <w:lang w:val="en-GB"/>
        </w:rPr>
        <w:t>,</w:t>
      </w:r>
      <w:r w:rsidR="00C526B4" w:rsidRPr="001D74B9">
        <w:rPr>
          <w:lang w:val="en-GB"/>
        </w:rPr>
        <w:t xml:space="preserve"> social dialogue with multinational companies has made </w:t>
      </w:r>
      <w:r w:rsidR="00FD33EB" w:rsidRPr="001D74B9">
        <w:rPr>
          <w:lang w:val="en-GB"/>
        </w:rPr>
        <w:t xml:space="preserve">also </w:t>
      </w:r>
      <w:r w:rsidR="00C526B4" w:rsidRPr="001D74B9">
        <w:rPr>
          <w:lang w:val="en-GB"/>
        </w:rPr>
        <w:t>greater use of TCAs</w:t>
      </w:r>
      <w:r w:rsidR="00392A25" w:rsidRPr="001D74B9">
        <w:rPr>
          <w:lang w:val="en-GB"/>
        </w:rPr>
        <w:t>,</w:t>
      </w:r>
      <w:r w:rsidR="00C526B4" w:rsidRPr="001D74B9">
        <w:rPr>
          <w:lang w:val="en-GB"/>
        </w:rPr>
        <w:t xml:space="preserve"> which build on the large number of texts signed by different actors but mainly by ETUFs or EWCs</w:t>
      </w:r>
      <w:r w:rsidR="00C526B4" w:rsidRPr="001D74B9">
        <w:rPr>
          <w:rStyle w:val="FootnoteReference"/>
          <w:lang w:val="en-GB"/>
        </w:rPr>
        <w:footnoteReference w:id="23"/>
      </w:r>
      <w:r w:rsidR="00931640" w:rsidRPr="001D74B9">
        <w:rPr>
          <w:lang w:val="en-GB"/>
        </w:rPr>
        <w:t>.</w:t>
      </w:r>
      <w:r w:rsidR="00C526B4" w:rsidRPr="001D74B9">
        <w:rPr>
          <w:lang w:val="en-GB"/>
        </w:rPr>
        <w:t xml:space="preserve"> </w:t>
      </w:r>
      <w:r w:rsidR="00AC0C54" w:rsidRPr="001D74B9">
        <w:rPr>
          <w:lang w:val="en-GB"/>
        </w:rPr>
        <w:t>More than 200 TCA</w:t>
      </w:r>
      <w:r w:rsidR="00C128B6" w:rsidRPr="001D74B9">
        <w:rPr>
          <w:lang w:val="en-GB"/>
        </w:rPr>
        <w:t>s</w:t>
      </w:r>
      <w:r w:rsidR="00AC0C54" w:rsidRPr="001D74B9">
        <w:rPr>
          <w:lang w:val="en-GB"/>
        </w:rPr>
        <w:t xml:space="preserve"> </w:t>
      </w:r>
      <w:r w:rsidR="00C128B6" w:rsidRPr="001D74B9">
        <w:rPr>
          <w:lang w:val="en-GB"/>
        </w:rPr>
        <w:t xml:space="preserve">aim </w:t>
      </w:r>
      <w:r w:rsidR="00AC0C54" w:rsidRPr="001D74B9">
        <w:rPr>
          <w:lang w:val="en-GB"/>
        </w:rPr>
        <w:t>to modernise industrial relations with MNEs</w:t>
      </w:r>
      <w:r w:rsidR="00106B5C" w:rsidRPr="001D74B9">
        <w:rPr>
          <w:rStyle w:val="FootnoteReference"/>
          <w:lang w:val="en-GB"/>
        </w:rPr>
        <w:footnoteReference w:id="24"/>
      </w:r>
      <w:r w:rsidR="00AC0C54" w:rsidRPr="001D74B9">
        <w:rPr>
          <w:lang w:val="en-GB"/>
        </w:rPr>
        <w:t xml:space="preserve">. A more practical </w:t>
      </w:r>
      <w:r w:rsidR="00D37E9E" w:rsidRPr="001D74B9">
        <w:rPr>
          <w:lang w:val="en-GB"/>
        </w:rPr>
        <w:t>tool of guidelines</w:t>
      </w:r>
      <w:r w:rsidR="00AC0C54" w:rsidRPr="001D74B9">
        <w:rPr>
          <w:lang w:val="en-GB"/>
        </w:rPr>
        <w:t xml:space="preserve"> for cross-border collective negotiations at company-level would make this</w:t>
      </w:r>
      <w:r w:rsidR="00C128B6" w:rsidRPr="001D74B9">
        <w:rPr>
          <w:lang w:val="en-GB"/>
        </w:rPr>
        <w:t xml:space="preserve"> </w:t>
      </w:r>
      <w:r w:rsidR="00AC0C54" w:rsidRPr="001D74B9">
        <w:rPr>
          <w:lang w:val="en-GB"/>
        </w:rPr>
        <w:t>layer of the EU industrial relations system more efficient.</w:t>
      </w:r>
    </w:p>
    <w:p w14:paraId="751F912A" w14:textId="77777777" w:rsidR="00C94858" w:rsidRPr="001D74B9" w:rsidRDefault="00C94858">
      <w:pPr>
        <w:rPr>
          <w:lang w:val="en-GB"/>
        </w:rPr>
      </w:pPr>
    </w:p>
    <w:p w14:paraId="5710F5E9" w14:textId="77777777" w:rsidR="008F3C37" w:rsidRPr="001D74B9" w:rsidRDefault="00AC0C54">
      <w:pPr>
        <w:pStyle w:val="Heading2"/>
        <w:rPr>
          <w:lang w:val="en-GB"/>
        </w:rPr>
      </w:pPr>
      <w:r w:rsidRPr="001D74B9">
        <w:rPr>
          <w:lang w:val="en-GB"/>
        </w:rPr>
        <w:t xml:space="preserve">All this activity shows </w:t>
      </w:r>
      <w:r w:rsidR="00C128B6" w:rsidRPr="001D74B9">
        <w:rPr>
          <w:lang w:val="en-GB"/>
        </w:rPr>
        <w:t>the</w:t>
      </w:r>
      <w:r w:rsidRPr="001D74B9">
        <w:rPr>
          <w:lang w:val="en-GB"/>
        </w:rPr>
        <w:t xml:space="preserve"> dynamism of social dialogue at all levels even if such dynamism may need </w:t>
      </w:r>
      <w:r w:rsidR="006931FC" w:rsidRPr="001D74B9">
        <w:rPr>
          <w:lang w:val="en-GB"/>
        </w:rPr>
        <w:t xml:space="preserve">tools </w:t>
      </w:r>
      <w:r w:rsidRPr="001D74B9">
        <w:rPr>
          <w:lang w:val="en-GB"/>
        </w:rPr>
        <w:t xml:space="preserve">that </w:t>
      </w:r>
      <w:r w:rsidR="003F20F5" w:rsidRPr="001D74B9">
        <w:rPr>
          <w:lang w:val="en-GB"/>
        </w:rPr>
        <w:t xml:space="preserve">make </w:t>
      </w:r>
      <w:r w:rsidRPr="001D74B9">
        <w:rPr>
          <w:lang w:val="en-GB"/>
        </w:rPr>
        <w:t xml:space="preserve">social dialogue </w:t>
      </w:r>
      <w:r w:rsidR="003F20F5" w:rsidRPr="001D74B9">
        <w:rPr>
          <w:lang w:val="en-GB"/>
        </w:rPr>
        <w:t xml:space="preserve">effectively respond </w:t>
      </w:r>
      <w:r w:rsidRPr="001D74B9">
        <w:rPr>
          <w:lang w:val="en-GB"/>
        </w:rPr>
        <w:t>to the most recent needs of companies and workers</w:t>
      </w:r>
      <w:r w:rsidR="00B56EEE" w:rsidRPr="001D74B9">
        <w:rPr>
          <w:lang w:val="en-GB"/>
        </w:rPr>
        <w:t xml:space="preserve"> due to </w:t>
      </w:r>
      <w:r w:rsidR="00392A25" w:rsidRPr="001D74B9">
        <w:rPr>
          <w:lang w:val="en-GB"/>
        </w:rPr>
        <w:t>rapid</w:t>
      </w:r>
      <w:r w:rsidR="00B56EEE" w:rsidRPr="001D74B9">
        <w:rPr>
          <w:lang w:val="en-GB"/>
        </w:rPr>
        <w:t xml:space="preserve"> changes in work organisation and transitions</w:t>
      </w:r>
      <w:r w:rsidRPr="001D74B9">
        <w:rPr>
          <w:lang w:val="en-GB"/>
        </w:rPr>
        <w:t xml:space="preserve">. The </w:t>
      </w:r>
      <w:r w:rsidR="007E56E2" w:rsidRPr="001D74B9">
        <w:rPr>
          <w:lang w:val="en-GB"/>
        </w:rPr>
        <w:t>q</w:t>
      </w:r>
      <w:r w:rsidRPr="001D74B9">
        <w:rPr>
          <w:lang w:val="en-GB"/>
        </w:rPr>
        <w:t>uadripartite statement</w:t>
      </w:r>
      <w:r w:rsidR="00B54470" w:rsidRPr="001D74B9">
        <w:rPr>
          <w:lang w:val="en-GB"/>
        </w:rPr>
        <w:t xml:space="preserve"> on</w:t>
      </w:r>
      <w:r w:rsidRPr="001D74B9">
        <w:rPr>
          <w:lang w:val="en-GB"/>
        </w:rPr>
        <w:t xml:space="preserve"> </w:t>
      </w:r>
      <w:r w:rsidRPr="001D74B9">
        <w:rPr>
          <w:i/>
          <w:lang w:val="en-GB"/>
        </w:rPr>
        <w:t>A new start for social dialogue</w:t>
      </w:r>
      <w:r w:rsidRPr="001D74B9">
        <w:rPr>
          <w:lang w:val="en-GB"/>
        </w:rPr>
        <w:t xml:space="preserve"> signed in 2018 and promoted by the EC</w:t>
      </w:r>
      <w:r w:rsidR="003A3669" w:rsidRPr="001D74B9">
        <w:rPr>
          <w:rStyle w:val="FootnoteReference"/>
          <w:lang w:val="en-GB"/>
        </w:rPr>
        <w:footnoteReference w:id="25"/>
      </w:r>
      <w:r w:rsidRPr="001D74B9">
        <w:rPr>
          <w:lang w:val="en-GB"/>
        </w:rPr>
        <w:t xml:space="preserve"> was an attempt to adapt the inter-professional social dialogue to the new European institutional setting with a more prominent role </w:t>
      </w:r>
      <w:r w:rsidR="00B54470" w:rsidRPr="001D74B9">
        <w:rPr>
          <w:lang w:val="en-GB"/>
        </w:rPr>
        <w:t>for</w:t>
      </w:r>
      <w:r w:rsidRPr="001D74B9">
        <w:rPr>
          <w:lang w:val="en-GB"/>
        </w:rPr>
        <w:t xml:space="preserve"> EU economic governance </w:t>
      </w:r>
      <w:r w:rsidR="00B54470" w:rsidRPr="001D74B9">
        <w:rPr>
          <w:lang w:val="en-GB"/>
        </w:rPr>
        <w:t xml:space="preserve">in </w:t>
      </w:r>
      <w:r w:rsidRPr="001D74B9">
        <w:rPr>
          <w:lang w:val="en-GB"/>
        </w:rPr>
        <w:t xml:space="preserve">triggering upward convergence of </w:t>
      </w:r>
      <w:r w:rsidR="00B54470" w:rsidRPr="001D74B9">
        <w:rPr>
          <w:lang w:val="en-GB"/>
        </w:rPr>
        <w:t xml:space="preserve">the </w:t>
      </w:r>
      <w:r w:rsidRPr="001D74B9">
        <w:rPr>
          <w:lang w:val="en-GB"/>
        </w:rPr>
        <w:t>living and working conditions of all Europeans.</w:t>
      </w:r>
    </w:p>
    <w:p w14:paraId="42498F1C" w14:textId="77777777" w:rsidR="006931FC" w:rsidRPr="001D74B9" w:rsidRDefault="006931FC">
      <w:pPr>
        <w:rPr>
          <w:lang w:val="en-GB"/>
        </w:rPr>
      </w:pPr>
    </w:p>
    <w:p w14:paraId="1B0408E7" w14:textId="77777777" w:rsidR="00082CF2" w:rsidRPr="001D74B9" w:rsidRDefault="00AC0C54">
      <w:pPr>
        <w:pStyle w:val="Heading2"/>
        <w:rPr>
          <w:lang w:val="en-GB"/>
        </w:rPr>
      </w:pPr>
      <w:r w:rsidRPr="001D74B9">
        <w:rPr>
          <w:rStyle w:val="Strong"/>
          <w:bCs w:val="0"/>
          <w:lang w:val="en-GB"/>
        </w:rPr>
        <w:t>Transforming our world: the 2030 Agenda for Sustainable Development.</w:t>
      </w:r>
      <w:r w:rsidRPr="001D74B9">
        <w:rPr>
          <w:rStyle w:val="Strong"/>
          <w:b w:val="0"/>
          <w:bCs w:val="0"/>
          <w:lang w:val="en-GB"/>
        </w:rPr>
        <w:t xml:space="preserve"> </w:t>
      </w:r>
      <w:r w:rsidRPr="001D74B9">
        <w:rPr>
          <w:lang w:val="en-GB"/>
        </w:rPr>
        <w:t>The UN 2030 Agenda and its 17 Sustainable Development Goals (SDGs) recognise (</w:t>
      </w:r>
      <w:r w:rsidR="006A2394" w:rsidRPr="001D74B9">
        <w:rPr>
          <w:lang w:val="en-GB"/>
        </w:rPr>
        <w:t xml:space="preserve">in </w:t>
      </w:r>
      <w:r w:rsidRPr="001D74B9">
        <w:rPr>
          <w:lang w:val="en-GB"/>
        </w:rPr>
        <w:t xml:space="preserve">Goals 8, 16 and 17) that </w:t>
      </w:r>
      <w:r w:rsidR="006A2394" w:rsidRPr="001D74B9">
        <w:rPr>
          <w:lang w:val="en-GB"/>
        </w:rPr>
        <w:t>s</w:t>
      </w:r>
      <w:r w:rsidRPr="001D74B9">
        <w:rPr>
          <w:lang w:val="en-GB"/>
        </w:rPr>
        <w:t xml:space="preserve">ocial dialogue can reinforce the (democratic) institutions and can facilitate the transition towards a more sustainable economy by developing a joint understanding of the challenges and the way to address them. </w:t>
      </w:r>
      <w:r w:rsidR="006A2394" w:rsidRPr="001D74B9">
        <w:rPr>
          <w:lang w:val="en-GB"/>
        </w:rPr>
        <w:t>The s</w:t>
      </w:r>
      <w:r w:rsidRPr="001D74B9">
        <w:rPr>
          <w:lang w:val="en-GB"/>
        </w:rPr>
        <w:t xml:space="preserve">ocial partners are therefore considered key actors when it comes to reforming and modernising societies and economies. </w:t>
      </w:r>
      <w:r w:rsidR="006A2394" w:rsidRPr="001D74B9">
        <w:rPr>
          <w:lang w:val="en-GB"/>
        </w:rPr>
        <w:t>They</w:t>
      </w:r>
      <w:r w:rsidRPr="001D74B9">
        <w:rPr>
          <w:lang w:val="en-GB"/>
        </w:rPr>
        <w:t xml:space="preserve"> can contribute to most of the SDGs and</w:t>
      </w:r>
      <w:r w:rsidR="00991F95" w:rsidRPr="001D74B9">
        <w:rPr>
          <w:lang w:val="en-GB"/>
        </w:rPr>
        <w:t xml:space="preserve"> can</w:t>
      </w:r>
      <w:r w:rsidR="006A2394" w:rsidRPr="001D74B9">
        <w:rPr>
          <w:lang w:val="en-GB"/>
        </w:rPr>
        <w:t xml:space="preserve"> </w:t>
      </w:r>
      <w:r w:rsidRPr="001D74B9">
        <w:rPr>
          <w:lang w:val="en-GB"/>
        </w:rPr>
        <w:t xml:space="preserve">incorporate sustainability aspects </w:t>
      </w:r>
      <w:r w:rsidR="00D34352" w:rsidRPr="001D74B9">
        <w:rPr>
          <w:lang w:val="en-GB"/>
        </w:rPr>
        <w:t>more extensively than what they are doing now</w:t>
      </w:r>
      <w:r w:rsidRPr="001D74B9">
        <w:rPr>
          <w:lang w:val="en-GB"/>
        </w:rPr>
        <w:t>. Broadening the scope of negotiations requires new partnerships and new strategies</w:t>
      </w:r>
      <w:r w:rsidR="00DF0211" w:rsidRPr="001D74B9">
        <w:rPr>
          <w:rStyle w:val="FootnoteReference"/>
          <w:lang w:val="en-GB"/>
        </w:rPr>
        <w:footnoteReference w:id="26"/>
      </w:r>
      <w:r w:rsidR="006A2394" w:rsidRPr="001D74B9">
        <w:rPr>
          <w:lang w:val="en-GB"/>
        </w:rPr>
        <w:t>.</w:t>
      </w:r>
      <w:r w:rsidRPr="001D74B9">
        <w:rPr>
          <w:lang w:val="en-GB"/>
        </w:rPr>
        <w:t xml:space="preserve"> Social dialogue, autonomous and independent, is key to combin</w:t>
      </w:r>
      <w:r w:rsidR="006A2394" w:rsidRPr="001D74B9">
        <w:rPr>
          <w:lang w:val="en-GB"/>
        </w:rPr>
        <w:t>ing</w:t>
      </w:r>
      <w:r w:rsidRPr="001D74B9">
        <w:rPr>
          <w:lang w:val="en-GB"/>
        </w:rPr>
        <w:t xml:space="preserve"> social policy with sound economic policy and a strategy for sustainable economic growth, competitiveness and social progress across all Member States and </w:t>
      </w:r>
      <w:r w:rsidR="006A2394" w:rsidRPr="001D74B9">
        <w:rPr>
          <w:lang w:val="en-GB"/>
        </w:rPr>
        <w:t xml:space="preserve">the </w:t>
      </w:r>
      <w:r w:rsidRPr="001D74B9">
        <w:rPr>
          <w:lang w:val="en-GB"/>
        </w:rPr>
        <w:t>European economic area</w:t>
      </w:r>
      <w:r w:rsidR="003068EF" w:rsidRPr="001D74B9">
        <w:rPr>
          <w:rStyle w:val="FootnoteReference"/>
          <w:lang w:val="en-GB"/>
        </w:rPr>
        <w:footnoteReference w:id="27"/>
      </w:r>
      <w:r w:rsidR="002375B6" w:rsidRPr="001D74B9">
        <w:rPr>
          <w:lang w:val="en-GB"/>
        </w:rPr>
        <w:t>.</w:t>
      </w:r>
    </w:p>
    <w:p w14:paraId="034DE96E" w14:textId="77777777" w:rsidR="00082CF2" w:rsidRPr="001D74B9" w:rsidRDefault="00082CF2">
      <w:pPr>
        <w:rPr>
          <w:lang w:val="en-GB"/>
        </w:rPr>
      </w:pPr>
    </w:p>
    <w:p w14:paraId="5F00C1DA" w14:textId="77777777" w:rsidR="00AC0C54" w:rsidRPr="001D74B9" w:rsidRDefault="00AC0C54">
      <w:pPr>
        <w:pStyle w:val="Heading2"/>
        <w:rPr>
          <w:lang w:val="en-GB"/>
        </w:rPr>
      </w:pPr>
      <w:r w:rsidRPr="001D74B9">
        <w:rPr>
          <w:lang w:val="en-GB"/>
        </w:rPr>
        <w:t xml:space="preserve">If social dialogue </w:t>
      </w:r>
      <w:r w:rsidR="006A2394" w:rsidRPr="001D74B9">
        <w:rPr>
          <w:lang w:val="en-GB"/>
        </w:rPr>
        <w:t xml:space="preserve">is </w:t>
      </w:r>
      <w:r w:rsidRPr="001D74B9">
        <w:rPr>
          <w:lang w:val="en-GB"/>
        </w:rPr>
        <w:t xml:space="preserve">to remain useful, it will have to </w:t>
      </w:r>
      <w:r w:rsidR="005C04CF" w:rsidRPr="001D74B9">
        <w:rPr>
          <w:lang w:val="en-GB"/>
        </w:rPr>
        <w:t>address new topics and</w:t>
      </w:r>
      <w:r w:rsidRPr="001D74B9">
        <w:rPr>
          <w:lang w:val="en-GB"/>
        </w:rPr>
        <w:t xml:space="preserve"> changes in the labour market</w:t>
      </w:r>
      <w:r w:rsidR="003B540F" w:rsidRPr="001D74B9">
        <w:rPr>
          <w:lang w:val="en-GB"/>
        </w:rPr>
        <w:t xml:space="preserve"> and deliver effective outcomes</w:t>
      </w:r>
      <w:r w:rsidRPr="001D74B9">
        <w:rPr>
          <w:lang w:val="en-GB"/>
        </w:rPr>
        <w:t xml:space="preserve">. New, </w:t>
      </w:r>
      <w:r w:rsidR="00B60882" w:rsidRPr="001D74B9">
        <w:rPr>
          <w:lang w:val="en-GB"/>
        </w:rPr>
        <w:t>non-standard</w:t>
      </w:r>
      <w:r w:rsidRPr="001D74B9">
        <w:rPr>
          <w:lang w:val="en-GB"/>
        </w:rPr>
        <w:t xml:space="preserve"> forms of work </w:t>
      </w:r>
      <w:r w:rsidR="00B60882" w:rsidRPr="001D74B9">
        <w:rPr>
          <w:lang w:val="en-GB"/>
        </w:rPr>
        <w:t>m</w:t>
      </w:r>
      <w:r w:rsidR="00741131" w:rsidRPr="001D74B9">
        <w:rPr>
          <w:lang w:val="en-GB"/>
        </w:rPr>
        <w:t>ay</w:t>
      </w:r>
      <w:r w:rsidRPr="001D74B9">
        <w:rPr>
          <w:lang w:val="en-GB"/>
        </w:rPr>
        <w:t xml:space="preserve"> blur the lines of the </w:t>
      </w:r>
      <w:r w:rsidR="009B25E7" w:rsidRPr="001D74B9">
        <w:rPr>
          <w:lang w:val="en-GB"/>
        </w:rPr>
        <w:t>worker</w:t>
      </w:r>
      <w:r w:rsidRPr="001D74B9">
        <w:rPr>
          <w:lang w:val="en-GB"/>
        </w:rPr>
        <w:t xml:space="preserve">-employer relationship and </w:t>
      </w:r>
      <w:r w:rsidR="00AA2A8B" w:rsidRPr="001D74B9">
        <w:rPr>
          <w:lang w:val="en-GB"/>
        </w:rPr>
        <w:t xml:space="preserve">is leading to </w:t>
      </w:r>
      <w:r w:rsidR="00771A72" w:rsidRPr="001D74B9">
        <w:rPr>
          <w:lang w:val="en-GB"/>
        </w:rPr>
        <w:t xml:space="preserve">a growing number of people </w:t>
      </w:r>
      <w:r w:rsidR="00D91160" w:rsidRPr="001D74B9">
        <w:rPr>
          <w:lang w:val="en-GB"/>
        </w:rPr>
        <w:t>no</w:t>
      </w:r>
      <w:r w:rsidR="009F6F95" w:rsidRPr="001D74B9">
        <w:rPr>
          <w:lang w:val="en-GB"/>
        </w:rPr>
        <w:t xml:space="preserve"> longer</w:t>
      </w:r>
      <w:r w:rsidR="00D91160" w:rsidRPr="001D74B9">
        <w:rPr>
          <w:lang w:val="en-GB"/>
        </w:rPr>
        <w:t xml:space="preserve"> covered by collective bargaining or protective legislation. T</w:t>
      </w:r>
      <w:r w:rsidRPr="001D74B9">
        <w:rPr>
          <w:lang w:val="en-GB"/>
        </w:rPr>
        <w:t xml:space="preserve">his is an area </w:t>
      </w:r>
      <w:r w:rsidR="00635041" w:rsidRPr="001D74B9">
        <w:rPr>
          <w:lang w:val="en-GB"/>
        </w:rPr>
        <w:t>which can be addressed in social di</w:t>
      </w:r>
      <w:r w:rsidR="00980984" w:rsidRPr="001D74B9">
        <w:rPr>
          <w:lang w:val="en-GB"/>
        </w:rPr>
        <w:t>a</w:t>
      </w:r>
      <w:r w:rsidR="00635041" w:rsidRPr="001D74B9">
        <w:rPr>
          <w:lang w:val="en-GB"/>
        </w:rPr>
        <w:t>logue</w:t>
      </w:r>
      <w:r w:rsidR="00BB6B68" w:rsidRPr="001D74B9">
        <w:rPr>
          <w:lang w:val="en-GB"/>
        </w:rPr>
        <w:t xml:space="preserve"> </w:t>
      </w:r>
      <w:r w:rsidRPr="001D74B9">
        <w:rPr>
          <w:lang w:val="en-GB"/>
        </w:rPr>
        <w:t>help</w:t>
      </w:r>
      <w:r w:rsidR="00581022" w:rsidRPr="001D74B9">
        <w:rPr>
          <w:lang w:val="en-GB"/>
        </w:rPr>
        <w:t>ing</w:t>
      </w:r>
      <w:r w:rsidRPr="001D74B9">
        <w:rPr>
          <w:lang w:val="en-GB"/>
        </w:rPr>
        <w:t xml:space="preserve"> to </w:t>
      </w:r>
      <w:r w:rsidR="006A2394" w:rsidRPr="001D74B9">
        <w:rPr>
          <w:lang w:val="en-GB"/>
        </w:rPr>
        <w:t xml:space="preserve">secure consensus between </w:t>
      </w:r>
      <w:r w:rsidRPr="001D74B9">
        <w:rPr>
          <w:lang w:val="en-GB"/>
        </w:rPr>
        <w:t xml:space="preserve">workers and businesses </w:t>
      </w:r>
      <w:r w:rsidR="006A2394" w:rsidRPr="001D74B9">
        <w:rPr>
          <w:lang w:val="en-GB"/>
        </w:rPr>
        <w:t xml:space="preserve">in order </w:t>
      </w:r>
      <w:r w:rsidRPr="001D74B9">
        <w:rPr>
          <w:lang w:val="en-GB"/>
        </w:rPr>
        <w:t>to embrace all dimensions of sustainability.</w:t>
      </w:r>
    </w:p>
    <w:p w14:paraId="3B19BE6F" w14:textId="77777777" w:rsidR="004E7D9D" w:rsidRPr="001D74B9" w:rsidRDefault="004E7D9D">
      <w:pPr>
        <w:rPr>
          <w:lang w:val="en-GB"/>
        </w:rPr>
      </w:pPr>
    </w:p>
    <w:p w14:paraId="65AB8AEE" w14:textId="77777777" w:rsidR="004E7D9D" w:rsidRPr="001D74B9" w:rsidRDefault="004E7D9D">
      <w:pPr>
        <w:pStyle w:val="Heading2"/>
        <w:rPr>
          <w:lang w:val="en-GB"/>
        </w:rPr>
      </w:pPr>
      <w:r w:rsidRPr="001D74B9">
        <w:rPr>
          <w:lang w:val="en-GB"/>
        </w:rPr>
        <w:t xml:space="preserve">Tripartite social dialogue can be more effective if it fosters concrete negotiations and outcomes at all levels. There is potential to improve the functioning of tripartite social dialogue bodies and consultation processes – in particular in Central and Eastern European countries- so that they could have a real impact, which would also lead to greater, timely and meaningful involvement of social partners in policy- and decision-making. The </w:t>
      </w:r>
      <w:r w:rsidR="004F1EC2" w:rsidRPr="001D74B9">
        <w:rPr>
          <w:lang w:val="en-GB"/>
        </w:rPr>
        <w:t xml:space="preserve">ongoing </w:t>
      </w:r>
      <w:r w:rsidRPr="001D74B9">
        <w:rPr>
          <w:lang w:val="en-GB"/>
        </w:rPr>
        <w:t xml:space="preserve">ILO and EC project seeks to identify good practices </w:t>
      </w:r>
      <w:r w:rsidR="004F1EC2" w:rsidRPr="001D74B9">
        <w:rPr>
          <w:lang w:val="en-GB"/>
        </w:rPr>
        <w:t>arising from</w:t>
      </w:r>
      <w:r w:rsidRPr="001D74B9">
        <w:rPr>
          <w:lang w:val="en-GB"/>
        </w:rPr>
        <w:t xml:space="preserve"> social dialogue that are emerging in various countries, as well as the action of public authorities aimed at enhancing the role of social dialogue</w:t>
      </w:r>
      <w:r w:rsidR="00F23FC4" w:rsidRPr="001D74B9">
        <w:rPr>
          <w:lang w:val="en-GB"/>
        </w:rPr>
        <w:t xml:space="preserve"> -</w:t>
      </w:r>
      <w:r w:rsidRPr="001D74B9">
        <w:rPr>
          <w:lang w:val="en-GB"/>
        </w:rPr>
        <w:t xml:space="preserve"> including collective bargaining</w:t>
      </w:r>
      <w:r w:rsidR="00F23FC4" w:rsidRPr="001D74B9">
        <w:rPr>
          <w:lang w:val="en-GB"/>
        </w:rPr>
        <w:t xml:space="preserve"> -</w:t>
      </w:r>
      <w:r w:rsidRPr="001D74B9">
        <w:rPr>
          <w:lang w:val="en-GB"/>
        </w:rPr>
        <w:t xml:space="preserve"> in tackling new challenges and opportunities in a new world of work, while </w:t>
      </w:r>
      <w:r w:rsidR="00F23FC4" w:rsidRPr="001D74B9">
        <w:rPr>
          <w:lang w:val="en-GB"/>
        </w:rPr>
        <w:t xml:space="preserve">at </w:t>
      </w:r>
      <w:r w:rsidRPr="001D74B9">
        <w:rPr>
          <w:lang w:val="en-GB"/>
        </w:rPr>
        <w:t xml:space="preserve">the same time supporting the autonomy of </w:t>
      </w:r>
      <w:r w:rsidR="00F23FC4" w:rsidRPr="001D74B9">
        <w:rPr>
          <w:lang w:val="en-GB"/>
        </w:rPr>
        <w:t xml:space="preserve">the </w:t>
      </w:r>
      <w:r w:rsidRPr="001D74B9">
        <w:rPr>
          <w:lang w:val="en-GB"/>
        </w:rPr>
        <w:t>social partners</w:t>
      </w:r>
      <w:r w:rsidR="00495A1C" w:rsidRPr="001D74B9">
        <w:rPr>
          <w:rStyle w:val="FootnoteReference"/>
          <w:lang w:val="en-GB"/>
        </w:rPr>
        <w:footnoteReference w:id="28"/>
      </w:r>
      <w:r w:rsidR="00931640" w:rsidRPr="001D74B9">
        <w:rPr>
          <w:lang w:val="en-GB"/>
        </w:rPr>
        <w:t>.</w:t>
      </w:r>
      <w:r w:rsidR="00495A1C" w:rsidRPr="001D74B9">
        <w:rPr>
          <w:rStyle w:val="CommentReference"/>
          <w:rFonts w:asciiTheme="minorHAnsi" w:eastAsiaTheme="minorHAnsi" w:hAnsiTheme="minorHAnsi" w:cstheme="minorBidi"/>
          <w:lang w:val="en-GB"/>
        </w:rPr>
        <w:t xml:space="preserve"> </w:t>
      </w:r>
    </w:p>
    <w:p w14:paraId="1E1B270F" w14:textId="77777777" w:rsidR="00995230" w:rsidRPr="001D74B9" w:rsidRDefault="00995230">
      <w:pPr>
        <w:pStyle w:val="Heading2"/>
        <w:numPr>
          <w:ilvl w:val="0"/>
          <w:numId w:val="0"/>
        </w:numPr>
        <w:ind w:left="567"/>
        <w:rPr>
          <w:lang w:val="en-GB"/>
        </w:rPr>
      </w:pPr>
    </w:p>
    <w:p w14:paraId="12B63E26" w14:textId="77777777" w:rsidR="00AC0C54" w:rsidRPr="001D74B9" w:rsidRDefault="00AC0C54">
      <w:pPr>
        <w:pStyle w:val="Heading2"/>
        <w:rPr>
          <w:lang w:val="en-GB"/>
        </w:rPr>
      </w:pPr>
      <w:r w:rsidRPr="001D74B9">
        <w:rPr>
          <w:b/>
          <w:lang w:val="en-GB"/>
        </w:rPr>
        <w:t>The</w:t>
      </w:r>
      <w:r w:rsidR="007E56E2" w:rsidRPr="001D74B9">
        <w:rPr>
          <w:b/>
          <w:lang w:val="en-GB"/>
        </w:rPr>
        <w:t xml:space="preserve"> </w:t>
      </w:r>
      <w:r w:rsidRPr="001D74B9">
        <w:rPr>
          <w:b/>
          <w:lang w:val="en-GB"/>
        </w:rPr>
        <w:t>European Pillar of Social Rights</w:t>
      </w:r>
      <w:r w:rsidRPr="001D74B9">
        <w:rPr>
          <w:lang w:val="en-GB"/>
        </w:rPr>
        <w:t xml:space="preserve"> (EPSR)</w:t>
      </w:r>
      <w:r w:rsidR="00A53D5A" w:rsidRPr="001D74B9">
        <w:rPr>
          <w:rStyle w:val="FootnoteReference"/>
          <w:lang w:val="en-GB"/>
        </w:rPr>
        <w:footnoteReference w:id="29"/>
      </w:r>
      <w:r w:rsidRPr="001D74B9">
        <w:rPr>
          <w:lang w:val="en-GB"/>
        </w:rPr>
        <w:t xml:space="preserve"> </w:t>
      </w:r>
      <w:r w:rsidR="005C1171" w:rsidRPr="001D74B9">
        <w:rPr>
          <w:lang w:val="en-GB"/>
        </w:rPr>
        <w:t>recognises</w:t>
      </w:r>
      <w:r w:rsidR="005C1171" w:rsidRPr="001D74B9" w:rsidDel="005C1171">
        <w:rPr>
          <w:i/>
          <w:lang w:val="en-GB"/>
        </w:rPr>
        <w:t xml:space="preserve"> </w:t>
      </w:r>
      <w:r w:rsidRPr="001D74B9">
        <w:rPr>
          <w:lang w:val="en-GB"/>
        </w:rPr>
        <w:t xml:space="preserve">the autonomy </w:t>
      </w:r>
      <w:r w:rsidR="007F55C5" w:rsidRPr="001D74B9">
        <w:rPr>
          <w:lang w:val="en-GB"/>
        </w:rPr>
        <w:t>of social partners and their</w:t>
      </w:r>
      <w:r w:rsidRPr="001D74B9">
        <w:rPr>
          <w:lang w:val="en-GB"/>
        </w:rPr>
        <w:t xml:space="preserve"> right to collective action and to be involved in designing and implementing employment and social policies, including by means of collective agreements. The EPSR reaffirms the crucial role of social dialogue and social partners, and colle</w:t>
      </w:r>
      <w:r w:rsidR="00052C34" w:rsidRPr="001D74B9">
        <w:rPr>
          <w:lang w:val="en-GB"/>
        </w:rPr>
        <w:t>ctive bargaining at all levels.</w:t>
      </w:r>
    </w:p>
    <w:p w14:paraId="2BBC1E17" w14:textId="77777777" w:rsidR="00052C34" w:rsidRPr="001D74B9" w:rsidRDefault="00052C34">
      <w:pPr>
        <w:pStyle w:val="Heading2"/>
        <w:numPr>
          <w:ilvl w:val="0"/>
          <w:numId w:val="0"/>
        </w:numPr>
        <w:ind w:left="567"/>
        <w:rPr>
          <w:lang w:val="en-GB"/>
        </w:rPr>
      </w:pPr>
    </w:p>
    <w:p w14:paraId="6ADB2EBF" w14:textId="77777777" w:rsidR="00AC0C54" w:rsidRPr="001D74B9" w:rsidRDefault="00AC0C54">
      <w:pPr>
        <w:pStyle w:val="Heading2"/>
        <w:rPr>
          <w:b/>
          <w:bCs/>
          <w:lang w:val="en-GB"/>
        </w:rPr>
      </w:pPr>
      <w:r w:rsidRPr="001D74B9">
        <w:rPr>
          <w:b/>
          <w:bCs/>
          <w:lang w:val="en-GB"/>
        </w:rPr>
        <w:t xml:space="preserve">An Action Plan </w:t>
      </w:r>
      <w:r w:rsidR="007A09A4" w:rsidRPr="001D74B9">
        <w:rPr>
          <w:b/>
          <w:bCs/>
          <w:lang w:val="en-GB"/>
        </w:rPr>
        <w:t xml:space="preserve">to implement the EPSR </w:t>
      </w:r>
      <w:r w:rsidRPr="001D74B9">
        <w:rPr>
          <w:bCs/>
          <w:lang w:val="en-GB"/>
        </w:rPr>
        <w:t xml:space="preserve">will explore ways </w:t>
      </w:r>
      <w:r w:rsidRPr="001D74B9">
        <w:rPr>
          <w:b/>
          <w:bCs/>
          <w:lang w:val="en-GB"/>
        </w:rPr>
        <w:t xml:space="preserve">to promote social dialogue and collective bargaining and increase the capacity </w:t>
      </w:r>
      <w:r w:rsidRPr="001D74B9">
        <w:rPr>
          <w:bCs/>
          <w:lang w:val="en-GB"/>
        </w:rPr>
        <w:t>of unions and employers</w:t>
      </w:r>
      <w:r w:rsidR="00CB412F" w:rsidRPr="001D74B9">
        <w:rPr>
          <w:bCs/>
          <w:lang w:val="en-GB"/>
        </w:rPr>
        <w:t>'</w:t>
      </w:r>
      <w:r w:rsidRPr="001D74B9">
        <w:rPr>
          <w:bCs/>
          <w:lang w:val="en-GB"/>
        </w:rPr>
        <w:t xml:space="preserve"> organi</w:t>
      </w:r>
      <w:r w:rsidR="00CB412F" w:rsidRPr="001D74B9">
        <w:rPr>
          <w:bCs/>
          <w:lang w:val="en-GB"/>
        </w:rPr>
        <w:t>s</w:t>
      </w:r>
      <w:r w:rsidRPr="001D74B9">
        <w:rPr>
          <w:bCs/>
          <w:lang w:val="en-GB"/>
        </w:rPr>
        <w:t>ations</w:t>
      </w:r>
      <w:r w:rsidRPr="001D74B9">
        <w:rPr>
          <w:b/>
          <w:bCs/>
          <w:lang w:val="en-GB"/>
        </w:rPr>
        <w:t xml:space="preserve"> </w:t>
      </w:r>
      <w:r w:rsidRPr="001D74B9">
        <w:rPr>
          <w:bCs/>
          <w:lang w:val="en-GB"/>
        </w:rPr>
        <w:t>at EU and national level</w:t>
      </w:r>
      <w:r w:rsidRPr="001D74B9">
        <w:rPr>
          <w:b/>
          <w:bCs/>
          <w:lang w:val="en-GB"/>
        </w:rPr>
        <w:t>.</w:t>
      </w:r>
    </w:p>
    <w:p w14:paraId="759D3FC8" w14:textId="77777777" w:rsidR="00052C34" w:rsidRPr="001D74B9" w:rsidRDefault="00052C34">
      <w:pPr>
        <w:rPr>
          <w:lang w:val="en-GB"/>
        </w:rPr>
      </w:pPr>
    </w:p>
    <w:p w14:paraId="2CA4D92A" w14:textId="77777777" w:rsidR="00AC0C54" w:rsidRPr="001D74B9" w:rsidRDefault="00AC0C54">
      <w:pPr>
        <w:pStyle w:val="Heading2"/>
        <w:rPr>
          <w:lang w:val="en-GB"/>
        </w:rPr>
      </w:pPr>
      <w:r w:rsidRPr="001D74B9">
        <w:rPr>
          <w:lang w:val="en-GB"/>
        </w:rPr>
        <w:t xml:space="preserve">The </w:t>
      </w:r>
      <w:r w:rsidR="00CB412F" w:rsidRPr="001D74B9">
        <w:rPr>
          <w:lang w:val="en-GB"/>
        </w:rPr>
        <w:t>s</w:t>
      </w:r>
      <w:r w:rsidRPr="001D74B9">
        <w:rPr>
          <w:lang w:val="en-GB"/>
        </w:rPr>
        <w:t xml:space="preserve">ocial </w:t>
      </w:r>
      <w:r w:rsidR="00CB412F" w:rsidRPr="001D74B9">
        <w:rPr>
          <w:lang w:val="en-GB"/>
        </w:rPr>
        <w:t>p</w:t>
      </w:r>
      <w:r w:rsidRPr="001D74B9">
        <w:rPr>
          <w:lang w:val="en-GB"/>
        </w:rPr>
        <w:t xml:space="preserve">artners should be </w:t>
      </w:r>
      <w:r w:rsidR="00F3069F" w:rsidRPr="001D74B9">
        <w:rPr>
          <w:lang w:val="en-GB"/>
        </w:rPr>
        <w:t xml:space="preserve">involved </w:t>
      </w:r>
      <w:r w:rsidRPr="001D74B9">
        <w:rPr>
          <w:lang w:val="en-GB"/>
        </w:rPr>
        <w:t xml:space="preserve">during the European Semester of Economic Governance, especially in the </w:t>
      </w:r>
      <w:r w:rsidR="00D02884" w:rsidRPr="001D74B9">
        <w:rPr>
          <w:lang w:val="en-GB"/>
        </w:rPr>
        <w:t xml:space="preserve">elaboration </w:t>
      </w:r>
      <w:r w:rsidRPr="001D74B9">
        <w:rPr>
          <w:lang w:val="en-GB"/>
        </w:rPr>
        <w:t xml:space="preserve">and implementation of employment, social and, where relevant, economic reforms and policies, either as a consequence of </w:t>
      </w:r>
      <w:r w:rsidR="000F6642" w:rsidRPr="001D74B9">
        <w:rPr>
          <w:lang w:val="en-GB"/>
        </w:rPr>
        <w:t xml:space="preserve">Country specific recommendations </w:t>
      </w:r>
      <w:r w:rsidRPr="001D74B9">
        <w:rPr>
          <w:lang w:val="en-GB"/>
        </w:rPr>
        <w:t xml:space="preserve">or following national dynamics, and in the </w:t>
      </w:r>
      <w:r w:rsidR="00CB412F" w:rsidRPr="001D74B9">
        <w:rPr>
          <w:lang w:val="en-GB"/>
        </w:rPr>
        <w:t xml:space="preserve">framing </w:t>
      </w:r>
      <w:r w:rsidRPr="001D74B9">
        <w:rPr>
          <w:lang w:val="en-GB"/>
        </w:rPr>
        <w:t>of the National Reform Programmes</w:t>
      </w:r>
      <w:r w:rsidR="00752FE1" w:rsidRPr="001D74B9">
        <w:rPr>
          <w:rStyle w:val="FootnoteReference"/>
          <w:lang w:val="en-GB"/>
        </w:rPr>
        <w:footnoteReference w:id="30"/>
      </w:r>
      <w:r w:rsidRPr="001D74B9">
        <w:rPr>
          <w:lang w:val="en-GB"/>
        </w:rPr>
        <w:t>.</w:t>
      </w:r>
    </w:p>
    <w:p w14:paraId="6CD6946A" w14:textId="77777777" w:rsidR="00052C34" w:rsidRPr="001D74B9" w:rsidRDefault="00052C34">
      <w:pPr>
        <w:rPr>
          <w:lang w:val="en-GB"/>
        </w:rPr>
      </w:pPr>
    </w:p>
    <w:p w14:paraId="7F08897C" w14:textId="77777777" w:rsidR="00AC0C54" w:rsidRPr="001D74B9" w:rsidRDefault="00AC0C54">
      <w:pPr>
        <w:pStyle w:val="Heading2"/>
        <w:rPr>
          <w:lang w:val="en-GB"/>
        </w:rPr>
      </w:pPr>
      <w:r w:rsidRPr="001D74B9">
        <w:rPr>
          <w:lang w:val="en-GB"/>
        </w:rPr>
        <w:t xml:space="preserve">Many underline that </w:t>
      </w:r>
      <w:r w:rsidR="00CB412F" w:rsidRPr="001D74B9">
        <w:rPr>
          <w:lang w:val="en-GB"/>
        </w:rPr>
        <w:t xml:space="preserve">the involvement of the </w:t>
      </w:r>
      <w:r w:rsidRPr="001D74B9">
        <w:rPr>
          <w:lang w:val="en-GB"/>
        </w:rPr>
        <w:t xml:space="preserve">social partners by national governments happens in </w:t>
      </w:r>
      <w:r w:rsidR="00CB412F" w:rsidRPr="001D74B9">
        <w:rPr>
          <w:lang w:val="en-GB"/>
        </w:rPr>
        <w:t xml:space="preserve">only a </w:t>
      </w:r>
      <w:r w:rsidRPr="001D74B9">
        <w:rPr>
          <w:lang w:val="en-GB"/>
        </w:rPr>
        <w:t>few countries and evidence gathered over the years show</w:t>
      </w:r>
      <w:r w:rsidR="00CB412F" w:rsidRPr="001D74B9">
        <w:rPr>
          <w:lang w:val="en-GB"/>
        </w:rPr>
        <w:t>s</w:t>
      </w:r>
      <w:r w:rsidRPr="001D74B9">
        <w:rPr>
          <w:lang w:val="en-GB"/>
        </w:rPr>
        <w:t xml:space="preserve"> that the possibility </w:t>
      </w:r>
      <w:r w:rsidR="00D324DF" w:rsidRPr="001D74B9">
        <w:rPr>
          <w:lang w:val="en-GB"/>
        </w:rPr>
        <w:t xml:space="preserve">of </w:t>
      </w:r>
      <w:r w:rsidRPr="001D74B9">
        <w:rPr>
          <w:lang w:val="en-GB"/>
        </w:rPr>
        <w:t>be</w:t>
      </w:r>
      <w:r w:rsidR="00D324DF" w:rsidRPr="001D74B9">
        <w:rPr>
          <w:lang w:val="en-GB"/>
        </w:rPr>
        <w:t>ing</w:t>
      </w:r>
      <w:r w:rsidRPr="001D74B9">
        <w:rPr>
          <w:lang w:val="en-GB"/>
        </w:rPr>
        <w:t xml:space="preserve"> consulted in the framework of economic governance is left to the discretion of governments in </w:t>
      </w:r>
      <w:r w:rsidR="00D324DF" w:rsidRPr="001D74B9">
        <w:rPr>
          <w:lang w:val="en-GB"/>
        </w:rPr>
        <w:t>office</w:t>
      </w:r>
      <w:r w:rsidRPr="001D74B9">
        <w:rPr>
          <w:lang w:val="en-GB"/>
        </w:rPr>
        <w:t xml:space="preserve">. Even worse is the case of those </w:t>
      </w:r>
      <w:r w:rsidR="00D324DF" w:rsidRPr="001D74B9">
        <w:rPr>
          <w:lang w:val="en-GB"/>
        </w:rPr>
        <w:t>M</w:t>
      </w:r>
      <w:r w:rsidRPr="001D74B9">
        <w:rPr>
          <w:lang w:val="en-GB"/>
        </w:rPr>
        <w:t xml:space="preserve">ember </w:t>
      </w:r>
      <w:r w:rsidR="00D324DF" w:rsidRPr="001D74B9">
        <w:rPr>
          <w:lang w:val="en-GB"/>
        </w:rPr>
        <w:t>S</w:t>
      </w:r>
      <w:r w:rsidRPr="001D74B9">
        <w:rPr>
          <w:lang w:val="en-GB"/>
        </w:rPr>
        <w:t xml:space="preserve">tates where historical weaknesses </w:t>
      </w:r>
      <w:r w:rsidR="00D324DF" w:rsidRPr="001D74B9">
        <w:rPr>
          <w:lang w:val="en-GB"/>
        </w:rPr>
        <w:t xml:space="preserve">in </w:t>
      </w:r>
      <w:r w:rsidRPr="001D74B9">
        <w:rPr>
          <w:lang w:val="en-GB"/>
        </w:rPr>
        <w:t xml:space="preserve">social dialogue structures and practices remain. </w:t>
      </w:r>
      <w:r w:rsidR="00D324DF" w:rsidRPr="001D74B9">
        <w:rPr>
          <w:lang w:val="en-GB"/>
        </w:rPr>
        <w:t>In any case</w:t>
      </w:r>
      <w:r w:rsidRPr="001D74B9">
        <w:rPr>
          <w:lang w:val="en-GB"/>
        </w:rPr>
        <w:t xml:space="preserve">, national social partners </w:t>
      </w:r>
      <w:r w:rsidR="00D324DF" w:rsidRPr="001D74B9">
        <w:rPr>
          <w:lang w:val="en-GB"/>
        </w:rPr>
        <w:t xml:space="preserve">do </w:t>
      </w:r>
      <w:r w:rsidRPr="001D74B9">
        <w:rPr>
          <w:lang w:val="en-GB"/>
        </w:rPr>
        <w:t>not always have the capacit</w:t>
      </w:r>
      <w:r w:rsidR="00827C6E" w:rsidRPr="001D74B9">
        <w:rPr>
          <w:lang w:val="en-GB"/>
        </w:rPr>
        <w:t>y</w:t>
      </w:r>
      <w:r w:rsidRPr="001D74B9">
        <w:rPr>
          <w:lang w:val="en-GB"/>
        </w:rPr>
        <w:t xml:space="preserve"> to participate </w:t>
      </w:r>
      <w:r w:rsidR="00D324DF" w:rsidRPr="001D74B9">
        <w:rPr>
          <w:lang w:val="en-GB"/>
        </w:rPr>
        <w:t xml:space="preserve">proactively </w:t>
      </w:r>
      <w:r w:rsidRPr="001D74B9">
        <w:rPr>
          <w:lang w:val="en-GB"/>
        </w:rPr>
        <w:t>in this challenging process</w:t>
      </w:r>
      <w:r w:rsidR="00AC6850" w:rsidRPr="001D74B9">
        <w:rPr>
          <w:rStyle w:val="FootnoteReference"/>
          <w:lang w:val="en-GB"/>
        </w:rPr>
        <w:footnoteReference w:id="31"/>
      </w:r>
      <w:r w:rsidR="00052C34" w:rsidRPr="001D74B9">
        <w:rPr>
          <w:lang w:val="en-GB"/>
        </w:rPr>
        <w:t>.</w:t>
      </w:r>
    </w:p>
    <w:p w14:paraId="673B5E5B" w14:textId="77777777" w:rsidR="00052C34" w:rsidRPr="001D74B9" w:rsidRDefault="00052C34">
      <w:pPr>
        <w:rPr>
          <w:lang w:val="en-GB"/>
        </w:rPr>
      </w:pPr>
    </w:p>
    <w:p w14:paraId="6B9FC7D6" w14:textId="77777777" w:rsidR="00AC0C54" w:rsidRPr="001D74B9" w:rsidRDefault="00D032E7">
      <w:pPr>
        <w:pStyle w:val="Heading2"/>
        <w:rPr>
          <w:lang w:val="en-GB"/>
        </w:rPr>
      </w:pPr>
      <w:r w:rsidRPr="001D74B9">
        <w:rPr>
          <w:lang w:val="en-GB"/>
        </w:rPr>
        <w:t>T</w:t>
      </w:r>
      <w:r w:rsidR="00AC0C54" w:rsidRPr="001D74B9">
        <w:rPr>
          <w:lang w:val="en-GB"/>
        </w:rPr>
        <w:t xml:space="preserve">he coordination exercised in the framework of the Semester and by the Council through the Employment Committee </w:t>
      </w:r>
      <w:r w:rsidR="005D1664" w:rsidRPr="001D74B9">
        <w:rPr>
          <w:lang w:val="en-GB"/>
        </w:rPr>
        <w:t>does not always produce results that are satisfactory for</w:t>
      </w:r>
      <w:r w:rsidR="00CB01D1" w:rsidRPr="001D74B9">
        <w:rPr>
          <w:lang w:val="en-GB"/>
        </w:rPr>
        <w:t xml:space="preserve"> all sides</w:t>
      </w:r>
      <w:r w:rsidR="00E069D3" w:rsidRPr="001D74B9">
        <w:rPr>
          <w:lang w:val="en-GB"/>
        </w:rPr>
        <w:t>.</w:t>
      </w:r>
      <w:r w:rsidR="00AC0C54" w:rsidRPr="001D74B9">
        <w:rPr>
          <w:lang w:val="en-GB"/>
        </w:rPr>
        <w:t xml:space="preserve"> </w:t>
      </w:r>
      <w:r w:rsidR="00E069D3" w:rsidRPr="001D74B9">
        <w:rPr>
          <w:lang w:val="en-GB"/>
        </w:rPr>
        <w:t>C</w:t>
      </w:r>
      <w:r w:rsidR="00AC0C54" w:rsidRPr="001D74B9">
        <w:rPr>
          <w:lang w:val="en-GB"/>
        </w:rPr>
        <w:t xml:space="preserve">onsidering the </w:t>
      </w:r>
      <w:r w:rsidR="00AC0C54" w:rsidRPr="001D74B9">
        <w:rPr>
          <w:iCs/>
          <w:lang w:val="en-GB"/>
        </w:rPr>
        <w:t>prominent</w:t>
      </w:r>
      <w:r w:rsidR="00AC0C54" w:rsidRPr="001D74B9">
        <w:rPr>
          <w:i/>
          <w:iCs/>
          <w:lang w:val="en-GB"/>
        </w:rPr>
        <w:t xml:space="preserve"> </w:t>
      </w:r>
      <w:r w:rsidR="00AC0C54" w:rsidRPr="001D74B9">
        <w:rPr>
          <w:lang w:val="en-GB"/>
        </w:rPr>
        <w:t xml:space="preserve">role that the EU Semester will gain in the implementation of the MFF 2021-2027 and the Next Generation EU programme, </w:t>
      </w:r>
      <w:r w:rsidR="00D91C86" w:rsidRPr="001D74B9">
        <w:rPr>
          <w:lang w:val="en-GB"/>
        </w:rPr>
        <w:t xml:space="preserve">thought should be given </w:t>
      </w:r>
      <w:r w:rsidR="00AC0C54" w:rsidRPr="001D74B9">
        <w:rPr>
          <w:iCs/>
          <w:lang w:val="en-GB"/>
        </w:rPr>
        <w:t>to introduc</w:t>
      </w:r>
      <w:r w:rsidR="00D91C86" w:rsidRPr="001D74B9">
        <w:rPr>
          <w:iCs/>
          <w:lang w:val="en-GB"/>
        </w:rPr>
        <w:t>ing</w:t>
      </w:r>
      <w:r w:rsidR="00AC0C54" w:rsidRPr="001D74B9">
        <w:rPr>
          <w:iCs/>
          <w:lang w:val="en-GB"/>
        </w:rPr>
        <w:t xml:space="preserve"> a mechanism that grant</w:t>
      </w:r>
      <w:r w:rsidR="00D91C86" w:rsidRPr="001D74B9">
        <w:rPr>
          <w:iCs/>
          <w:lang w:val="en-GB"/>
        </w:rPr>
        <w:t>s</w:t>
      </w:r>
      <w:r w:rsidR="00AC0C54" w:rsidRPr="001D74B9">
        <w:rPr>
          <w:lang w:val="en-GB"/>
        </w:rPr>
        <w:t xml:space="preserve"> the right to social partners to be consulted, at both EU and national level, at the milestones </w:t>
      </w:r>
      <w:r w:rsidR="00D91C86" w:rsidRPr="001D74B9">
        <w:rPr>
          <w:lang w:val="en-GB"/>
        </w:rPr>
        <w:t xml:space="preserve">represented by </w:t>
      </w:r>
      <w:r w:rsidR="00AC0C54" w:rsidRPr="001D74B9">
        <w:rPr>
          <w:lang w:val="en-GB"/>
        </w:rPr>
        <w:t xml:space="preserve">the Semester. An amendment to the </w:t>
      </w:r>
      <w:r w:rsidR="00724F1B" w:rsidRPr="001D74B9">
        <w:rPr>
          <w:lang w:val="en-GB"/>
        </w:rPr>
        <w:t>six</w:t>
      </w:r>
      <w:r w:rsidR="00AC0C54" w:rsidRPr="001D74B9">
        <w:rPr>
          <w:lang w:val="en-GB"/>
        </w:rPr>
        <w:t>-pack</w:t>
      </w:r>
      <w:r w:rsidR="00586481" w:rsidRPr="001D74B9">
        <w:rPr>
          <w:rStyle w:val="FootnoteReference"/>
          <w:lang w:val="en-GB"/>
        </w:rPr>
        <w:footnoteReference w:id="32"/>
      </w:r>
      <w:r w:rsidR="00AC0C54" w:rsidRPr="001D74B9">
        <w:rPr>
          <w:lang w:val="en-GB"/>
        </w:rPr>
        <w:t xml:space="preserve"> may introduce an obligation on national governments to consult social partners at national milestones of the </w:t>
      </w:r>
      <w:r w:rsidR="00724F1B" w:rsidRPr="001D74B9">
        <w:rPr>
          <w:lang w:val="en-GB"/>
        </w:rPr>
        <w:t>S</w:t>
      </w:r>
      <w:r w:rsidR="00AC0C54" w:rsidRPr="001D74B9">
        <w:rPr>
          <w:lang w:val="en-GB"/>
        </w:rPr>
        <w:t>emester</w:t>
      </w:r>
      <w:r w:rsidR="00724ED4" w:rsidRPr="001D74B9">
        <w:rPr>
          <w:lang w:val="en-GB"/>
        </w:rPr>
        <w:t xml:space="preserve">, introducing criteria such as </w:t>
      </w:r>
      <w:r w:rsidR="003B56D9" w:rsidRPr="001D74B9">
        <w:rPr>
          <w:lang w:val="en-GB"/>
        </w:rPr>
        <w:t xml:space="preserve">the </w:t>
      </w:r>
      <w:r w:rsidR="00724ED4" w:rsidRPr="001D74B9">
        <w:rPr>
          <w:lang w:val="en-GB"/>
        </w:rPr>
        <w:t>good timing, meaningfulness and appropriateness of the consultation</w:t>
      </w:r>
      <w:r w:rsidR="00AC0C54" w:rsidRPr="001D74B9">
        <w:rPr>
          <w:lang w:val="en-GB"/>
        </w:rPr>
        <w:t xml:space="preserve"> (</w:t>
      </w:r>
      <w:r w:rsidR="00724F1B" w:rsidRPr="001D74B9">
        <w:rPr>
          <w:lang w:val="en-GB"/>
        </w:rPr>
        <w:t>A</w:t>
      </w:r>
      <w:r w:rsidR="00AC0C54" w:rsidRPr="001D74B9">
        <w:rPr>
          <w:lang w:val="en-GB"/>
        </w:rPr>
        <w:t>rticle 2-a</w:t>
      </w:r>
      <w:r w:rsidR="00724F1B" w:rsidRPr="001D74B9">
        <w:rPr>
          <w:lang w:val="en-GB"/>
        </w:rPr>
        <w:t>(2)(c)(d) and (e)</w:t>
      </w:r>
      <w:r w:rsidR="00AC0C54" w:rsidRPr="001D74B9">
        <w:rPr>
          <w:lang w:val="en-GB"/>
        </w:rPr>
        <w:t xml:space="preserve"> of Reg</w:t>
      </w:r>
      <w:r w:rsidR="00724F1B" w:rsidRPr="001D74B9">
        <w:rPr>
          <w:lang w:val="en-GB"/>
        </w:rPr>
        <w:t xml:space="preserve">ulation </w:t>
      </w:r>
      <w:r w:rsidR="00AC0C54" w:rsidRPr="001D74B9">
        <w:rPr>
          <w:lang w:val="en-GB"/>
        </w:rPr>
        <w:t xml:space="preserve">1146/97 as amended by Regulation </w:t>
      </w:r>
      <w:r w:rsidR="00724F1B" w:rsidRPr="001D74B9">
        <w:rPr>
          <w:lang w:val="en-GB"/>
        </w:rPr>
        <w:t>(EU) No </w:t>
      </w:r>
      <w:r w:rsidR="00AC0C54" w:rsidRPr="001D74B9">
        <w:rPr>
          <w:lang w:val="en-GB"/>
        </w:rPr>
        <w:t>1175/2011</w:t>
      </w:r>
      <w:r w:rsidR="00BC0950" w:rsidRPr="001D74B9">
        <w:rPr>
          <w:lang w:val="en-GB"/>
        </w:rPr>
        <w:t>)</w:t>
      </w:r>
      <w:r w:rsidR="00AC0C54" w:rsidRPr="001D74B9">
        <w:rPr>
          <w:lang w:val="en-GB"/>
        </w:rPr>
        <w:t>.</w:t>
      </w:r>
    </w:p>
    <w:p w14:paraId="16A32DA2" w14:textId="77777777" w:rsidR="00052C34" w:rsidRPr="001D74B9" w:rsidRDefault="00052C34">
      <w:pPr>
        <w:rPr>
          <w:lang w:val="en-GB"/>
        </w:rPr>
      </w:pPr>
    </w:p>
    <w:p w14:paraId="0D1A6E01" w14:textId="77777777" w:rsidR="00910B44" w:rsidRPr="001D74B9" w:rsidRDefault="005F6B86">
      <w:pPr>
        <w:pStyle w:val="Heading2"/>
        <w:rPr>
          <w:lang w:val="en-GB"/>
        </w:rPr>
      </w:pPr>
      <w:r w:rsidRPr="001D74B9">
        <w:rPr>
          <w:lang w:val="en-GB"/>
        </w:rPr>
        <w:t>Some research findings</w:t>
      </w:r>
      <w:r w:rsidR="00F13E31" w:rsidRPr="001D74B9">
        <w:rPr>
          <w:rStyle w:val="FootnoteReference"/>
          <w:lang w:val="en-GB"/>
        </w:rPr>
        <w:footnoteReference w:id="33"/>
      </w:r>
      <w:r w:rsidRPr="001D74B9">
        <w:rPr>
          <w:lang w:val="en-GB"/>
        </w:rPr>
        <w:t xml:space="preserve"> show that</w:t>
      </w:r>
      <w:r w:rsidR="00AC0C54" w:rsidRPr="001D74B9">
        <w:rPr>
          <w:lang w:val="en-GB"/>
        </w:rPr>
        <w:t xml:space="preserve"> national social partners</w:t>
      </w:r>
      <w:r w:rsidRPr="001D74B9">
        <w:rPr>
          <w:lang w:val="en-GB"/>
        </w:rPr>
        <w:t xml:space="preserve"> do</w:t>
      </w:r>
      <w:r w:rsidR="00AC0C54" w:rsidRPr="001D74B9">
        <w:rPr>
          <w:lang w:val="en-GB"/>
        </w:rPr>
        <w:t xml:space="preserve"> not always have the capacities to proactively participate in this challenging process.</w:t>
      </w:r>
      <w:r w:rsidR="00724F1B" w:rsidRPr="001D74B9">
        <w:rPr>
          <w:lang w:val="en-GB"/>
        </w:rPr>
        <w:t xml:space="preserve"> </w:t>
      </w:r>
      <w:r w:rsidR="00AD52C4" w:rsidRPr="001D74B9">
        <w:rPr>
          <w:lang w:val="en-GB"/>
        </w:rPr>
        <w:t>Capacity</w:t>
      </w:r>
      <w:r w:rsidR="00845E81" w:rsidRPr="001D74B9">
        <w:rPr>
          <w:lang w:val="en-GB"/>
        </w:rPr>
        <w:t>-</w:t>
      </w:r>
      <w:r w:rsidR="00AD52C4" w:rsidRPr="001D74B9">
        <w:rPr>
          <w:lang w:val="en-GB"/>
        </w:rPr>
        <w:t>building actions for social partners</w:t>
      </w:r>
      <w:r w:rsidR="00845E81" w:rsidRPr="001D74B9">
        <w:rPr>
          <w:lang w:val="en-GB"/>
        </w:rPr>
        <w:t>,</w:t>
      </w:r>
      <w:r w:rsidR="00AD52C4" w:rsidRPr="001D74B9">
        <w:rPr>
          <w:lang w:val="en-GB"/>
        </w:rPr>
        <w:t xml:space="preserve"> aimed at strengthening national social dialogue frameworks and practices should be promoted and supported by the European Commission, also via the ESF funds. This would allow Social Partners to reinforce their capacities to navigate the existing green and digital transition periods</w:t>
      </w:r>
      <w:r w:rsidR="00845E81" w:rsidRPr="001D74B9">
        <w:rPr>
          <w:lang w:val="en-GB"/>
        </w:rPr>
        <w:t>,</w:t>
      </w:r>
      <w:r w:rsidR="00AD52C4" w:rsidRPr="001D74B9">
        <w:rPr>
          <w:lang w:val="en-GB"/>
        </w:rPr>
        <w:t xml:space="preserve"> which is crucial. In this regard, capacity is not only an internal problem of (</w:t>
      </w:r>
      <w:r w:rsidR="00845E81" w:rsidRPr="001D74B9">
        <w:rPr>
          <w:lang w:val="en-GB"/>
        </w:rPr>
        <w:t xml:space="preserve">a </w:t>
      </w:r>
      <w:r w:rsidR="00AD52C4" w:rsidRPr="001D74B9">
        <w:rPr>
          <w:lang w:val="en-GB"/>
        </w:rPr>
        <w:t xml:space="preserve">lack of) financial and resources means, but </w:t>
      </w:r>
      <w:r w:rsidR="00845E81" w:rsidRPr="001D74B9">
        <w:rPr>
          <w:lang w:val="en-GB"/>
        </w:rPr>
        <w:t xml:space="preserve">is </w:t>
      </w:r>
      <w:r w:rsidR="00AD52C4" w:rsidRPr="001D74B9">
        <w:rPr>
          <w:lang w:val="en-GB"/>
        </w:rPr>
        <w:t>also a structural issue depending on the industrial relations framework. Training activities supporting the capacities of the social partners</w:t>
      </w:r>
      <w:r w:rsidR="00845E81" w:rsidRPr="001D74B9">
        <w:rPr>
          <w:lang w:val="en-GB"/>
        </w:rPr>
        <w:t>,</w:t>
      </w:r>
      <w:r w:rsidR="00AD52C4" w:rsidRPr="001D74B9">
        <w:rPr>
          <w:lang w:val="en-GB"/>
        </w:rPr>
        <w:t xml:space="preserve"> as well as incentivising engagement in bipartite negotiations at sectoral and company level, while respecting the autonomy of collective bargaining, need to be further supported.</w:t>
      </w:r>
    </w:p>
    <w:p w14:paraId="389C3EE7" w14:textId="77777777" w:rsidR="005B26F2" w:rsidRPr="001D74B9" w:rsidRDefault="005B26F2">
      <w:pPr>
        <w:rPr>
          <w:lang w:val="en-GB"/>
        </w:rPr>
      </w:pPr>
    </w:p>
    <w:p w14:paraId="5D26046D" w14:textId="77777777" w:rsidR="005B26F2" w:rsidRPr="001D74B9" w:rsidRDefault="00AD52C4">
      <w:pPr>
        <w:pStyle w:val="Heading2"/>
        <w:rPr>
          <w:lang w:val="en-GB"/>
        </w:rPr>
      </w:pPr>
      <w:r w:rsidRPr="001D74B9">
        <w:rPr>
          <w:lang w:val="en-GB"/>
        </w:rPr>
        <w:t>C</w:t>
      </w:r>
      <w:r w:rsidR="00AC0C54" w:rsidRPr="001D74B9">
        <w:rPr>
          <w:lang w:val="en-GB"/>
        </w:rPr>
        <w:t>apacity</w:t>
      </w:r>
      <w:r w:rsidR="00845E81" w:rsidRPr="001D74B9">
        <w:rPr>
          <w:lang w:val="en-GB"/>
        </w:rPr>
        <w:t>-</w:t>
      </w:r>
      <w:r w:rsidR="00AC0C54" w:rsidRPr="001D74B9">
        <w:rPr>
          <w:lang w:val="en-GB"/>
        </w:rPr>
        <w:t>building support under the ESF operational programmes</w:t>
      </w:r>
      <w:r w:rsidR="000F7D9E" w:rsidRPr="001D74B9">
        <w:rPr>
          <w:lang w:val="en-GB"/>
        </w:rPr>
        <w:t xml:space="preserve"> should be further developed</w:t>
      </w:r>
      <w:r w:rsidR="00AC0C54" w:rsidRPr="001D74B9">
        <w:rPr>
          <w:lang w:val="en-GB"/>
        </w:rPr>
        <w:t xml:space="preserve">. </w:t>
      </w:r>
      <w:r w:rsidR="003216AA" w:rsidRPr="001D74B9">
        <w:rPr>
          <w:lang w:val="en-GB"/>
        </w:rPr>
        <w:t>D</w:t>
      </w:r>
      <w:r w:rsidR="00AC0C54" w:rsidRPr="001D74B9">
        <w:rPr>
          <w:lang w:val="en-GB"/>
        </w:rPr>
        <w:t xml:space="preserve">espite the introduction of the code of conduct on partnership, through which social partners should have greater influence over the content of these programmes, the managing authorities do not allocate support for </w:t>
      </w:r>
      <w:r w:rsidR="00724F1B" w:rsidRPr="001D74B9">
        <w:rPr>
          <w:lang w:val="en-GB"/>
        </w:rPr>
        <w:t xml:space="preserve">the </w:t>
      </w:r>
      <w:r w:rsidR="00AC0C54" w:rsidRPr="001D74B9">
        <w:rPr>
          <w:lang w:val="en-GB"/>
        </w:rPr>
        <w:t>social partners</w:t>
      </w:r>
      <w:r w:rsidR="00724F1B" w:rsidRPr="001D74B9">
        <w:rPr>
          <w:lang w:val="en-GB"/>
        </w:rPr>
        <w:t>'</w:t>
      </w:r>
      <w:r w:rsidR="00AC0C54" w:rsidRPr="001D74B9">
        <w:rPr>
          <w:lang w:val="en-GB"/>
        </w:rPr>
        <w:t xml:space="preserve"> capacity building. The proposed ESF+ regulation should come with measures for capacity building support and </w:t>
      </w:r>
      <w:r w:rsidR="00724F1B" w:rsidRPr="001D74B9">
        <w:rPr>
          <w:lang w:val="en-GB"/>
        </w:rPr>
        <w:t xml:space="preserve">information on </w:t>
      </w:r>
      <w:r w:rsidR="00AC0C54" w:rsidRPr="001D74B9">
        <w:rPr>
          <w:lang w:val="en-GB"/>
        </w:rPr>
        <w:t>how to go about making the case to the managing authorities to do more to support social partners</w:t>
      </w:r>
      <w:r w:rsidR="00724F1B" w:rsidRPr="001D74B9">
        <w:rPr>
          <w:lang w:val="en-GB"/>
        </w:rPr>
        <w:t>'</w:t>
      </w:r>
      <w:r w:rsidR="00AC0C54" w:rsidRPr="001D74B9">
        <w:rPr>
          <w:lang w:val="en-GB"/>
        </w:rPr>
        <w:t xml:space="preserve"> capacity building needs. In this regard social </w:t>
      </w:r>
      <w:r w:rsidR="00A06D22" w:rsidRPr="001D74B9">
        <w:rPr>
          <w:lang w:val="en-GB"/>
        </w:rPr>
        <w:t>Country specific recommendations</w:t>
      </w:r>
      <w:r w:rsidR="00AC0C54" w:rsidRPr="001D74B9">
        <w:rPr>
          <w:lang w:val="en-GB"/>
        </w:rPr>
        <w:t xml:space="preserve"> (including those </w:t>
      </w:r>
      <w:r w:rsidR="00724F1B" w:rsidRPr="001D74B9">
        <w:rPr>
          <w:lang w:val="en-GB"/>
        </w:rPr>
        <w:t>for</w:t>
      </w:r>
      <w:r w:rsidR="00AC0C54" w:rsidRPr="001D74B9">
        <w:rPr>
          <w:lang w:val="en-GB"/>
        </w:rPr>
        <w:t xml:space="preserve"> 2020) are identifying </w:t>
      </w:r>
      <w:r w:rsidR="00724F1B" w:rsidRPr="001D74B9">
        <w:rPr>
          <w:lang w:val="en-GB"/>
        </w:rPr>
        <w:t xml:space="preserve">the </w:t>
      </w:r>
      <w:r w:rsidR="00AC0C54" w:rsidRPr="001D74B9">
        <w:rPr>
          <w:lang w:val="en-GB"/>
        </w:rPr>
        <w:t xml:space="preserve">countries </w:t>
      </w:r>
      <w:r w:rsidR="00724F1B" w:rsidRPr="001D74B9">
        <w:rPr>
          <w:lang w:val="en-GB"/>
        </w:rPr>
        <w:t xml:space="preserve">where </w:t>
      </w:r>
      <w:r w:rsidR="00AC0C54" w:rsidRPr="001D74B9">
        <w:rPr>
          <w:lang w:val="en-GB"/>
        </w:rPr>
        <w:t xml:space="preserve">support to social partners is </w:t>
      </w:r>
      <w:r w:rsidR="00724F1B" w:rsidRPr="001D74B9">
        <w:rPr>
          <w:lang w:val="en-GB"/>
        </w:rPr>
        <w:t xml:space="preserve">most </w:t>
      </w:r>
      <w:r w:rsidR="00AC0C54" w:rsidRPr="001D74B9">
        <w:rPr>
          <w:lang w:val="en-GB"/>
        </w:rPr>
        <w:t>needed.</w:t>
      </w:r>
      <w:r w:rsidR="002A41D4" w:rsidRPr="001D74B9">
        <w:rPr>
          <w:lang w:val="en-GB"/>
        </w:rPr>
        <w:t xml:space="preserve"> </w:t>
      </w:r>
    </w:p>
    <w:p w14:paraId="1684A1A4" w14:textId="77777777" w:rsidR="005B26F2" w:rsidRPr="001D74B9" w:rsidRDefault="005B26F2">
      <w:pPr>
        <w:rPr>
          <w:lang w:val="en-GB"/>
        </w:rPr>
      </w:pPr>
    </w:p>
    <w:p w14:paraId="7939D476" w14:textId="77777777" w:rsidR="00AC0C54" w:rsidRPr="001D74B9" w:rsidRDefault="00AC0C54">
      <w:pPr>
        <w:pStyle w:val="Heading2"/>
        <w:rPr>
          <w:lang w:val="en-GB"/>
        </w:rPr>
      </w:pPr>
      <w:r w:rsidRPr="001D74B9">
        <w:rPr>
          <w:lang w:val="en-GB" w:eastAsia="fr-BE"/>
        </w:rPr>
        <w:t xml:space="preserve">Concerning the Civil Society Organisations, </w:t>
      </w:r>
      <w:r w:rsidR="004758A3" w:rsidRPr="001D74B9">
        <w:rPr>
          <w:lang w:val="en-GB" w:eastAsia="fr-BE"/>
        </w:rPr>
        <w:t xml:space="preserve">and the Civil Dialogue, they should be appropriately consulted by the EU and national Governments, especially for </w:t>
      </w:r>
      <w:r w:rsidR="007E5C18" w:rsidRPr="001D74B9">
        <w:rPr>
          <w:lang w:val="en-GB" w:eastAsia="fr-BE"/>
        </w:rPr>
        <w:t>specific</w:t>
      </w:r>
      <w:r w:rsidR="004758A3" w:rsidRPr="001D74B9">
        <w:rPr>
          <w:lang w:val="en-GB" w:eastAsia="fr-BE"/>
        </w:rPr>
        <w:t xml:space="preserve"> policies</w:t>
      </w:r>
      <w:r w:rsidR="008825B6" w:rsidRPr="001D74B9">
        <w:rPr>
          <w:lang w:val="en-GB" w:eastAsia="fr-BE"/>
        </w:rPr>
        <w:t>,</w:t>
      </w:r>
      <w:r w:rsidR="00FF2744" w:rsidRPr="001D74B9">
        <w:rPr>
          <w:lang w:val="en-GB" w:eastAsia="fr-BE"/>
        </w:rPr>
        <w:t xml:space="preserve"> where they could bring added value</w:t>
      </w:r>
      <w:r w:rsidR="004758A3" w:rsidRPr="001D74B9">
        <w:rPr>
          <w:lang w:val="en-GB" w:eastAsia="fr-BE"/>
        </w:rPr>
        <w:t>.</w:t>
      </w:r>
      <w:r w:rsidR="004758A3" w:rsidRPr="001D74B9">
        <w:rPr>
          <w:lang w:val="en-GB"/>
        </w:rPr>
        <w:t xml:space="preserve"> </w:t>
      </w:r>
    </w:p>
    <w:p w14:paraId="3A98A270" w14:textId="77777777" w:rsidR="00D872DA" w:rsidRPr="001D74B9" w:rsidRDefault="00D872DA" w:rsidP="00CD407F">
      <w:pPr>
        <w:rPr>
          <w:lang w:val="en-GB"/>
        </w:rPr>
      </w:pPr>
    </w:p>
    <w:p w14:paraId="0C9C6800" w14:textId="77777777" w:rsidR="00D872DA" w:rsidRPr="001D74B9" w:rsidRDefault="00D872DA" w:rsidP="001A1F0B">
      <w:pPr>
        <w:pStyle w:val="Heading1"/>
        <w:keepNext/>
        <w:keepLines/>
        <w:rPr>
          <w:b/>
          <w:lang w:val="en-GB"/>
        </w:rPr>
      </w:pPr>
      <w:r w:rsidRPr="001D74B9">
        <w:rPr>
          <w:b/>
          <w:lang w:val="en-GB"/>
        </w:rPr>
        <w:t xml:space="preserve">Analysis of experiences from the last financial crisis 2008-2010 and lessons learnt, </w:t>
      </w:r>
      <w:r w:rsidR="006859E1" w:rsidRPr="001D74B9">
        <w:rPr>
          <w:b/>
          <w:lang w:val="en-GB"/>
        </w:rPr>
        <w:t xml:space="preserve">both </w:t>
      </w:r>
      <w:r w:rsidRPr="001D74B9">
        <w:rPr>
          <w:b/>
          <w:lang w:val="en-GB"/>
        </w:rPr>
        <w:t>positive and negative</w:t>
      </w:r>
    </w:p>
    <w:p w14:paraId="674E7C26" w14:textId="77777777" w:rsidR="00D872DA" w:rsidRPr="001D74B9" w:rsidRDefault="00D872DA" w:rsidP="001A1F0B">
      <w:pPr>
        <w:keepNext/>
        <w:keepLines/>
        <w:rPr>
          <w:lang w:val="en-GB"/>
        </w:rPr>
      </w:pPr>
    </w:p>
    <w:p w14:paraId="48FDA7D4" w14:textId="77777777" w:rsidR="00D872DA" w:rsidRPr="001D74B9" w:rsidRDefault="00D872DA">
      <w:pPr>
        <w:pStyle w:val="Heading2"/>
        <w:rPr>
          <w:lang w:val="en-GB"/>
        </w:rPr>
      </w:pPr>
      <w:r w:rsidRPr="001D74B9">
        <w:rPr>
          <w:lang w:val="en-GB"/>
        </w:rPr>
        <w:t>Social dialogue in times of crisis</w:t>
      </w:r>
      <w:r w:rsidR="006859E1" w:rsidRPr="001D74B9">
        <w:rPr>
          <w:lang w:val="en-GB"/>
        </w:rPr>
        <w:t>, such</w:t>
      </w:r>
      <w:r w:rsidRPr="001D74B9">
        <w:rPr>
          <w:lang w:val="en-GB"/>
        </w:rPr>
        <w:t xml:space="preserve"> as in the last crisis</w:t>
      </w:r>
      <w:r w:rsidR="006859E1" w:rsidRPr="001D74B9">
        <w:rPr>
          <w:lang w:val="en-GB"/>
        </w:rPr>
        <w:t xml:space="preserve"> in</w:t>
      </w:r>
      <w:r w:rsidRPr="001D74B9">
        <w:rPr>
          <w:lang w:val="en-GB"/>
        </w:rPr>
        <w:t xml:space="preserve"> 2008</w:t>
      </w:r>
      <w:r w:rsidR="006859E1" w:rsidRPr="001D74B9">
        <w:rPr>
          <w:lang w:val="en-GB"/>
        </w:rPr>
        <w:t>-</w:t>
      </w:r>
      <w:r w:rsidRPr="001D74B9">
        <w:rPr>
          <w:lang w:val="en-GB"/>
        </w:rPr>
        <w:t>2010</w:t>
      </w:r>
      <w:r w:rsidR="006859E1" w:rsidRPr="001D74B9">
        <w:rPr>
          <w:lang w:val="en-GB"/>
        </w:rPr>
        <w:t>,</w:t>
      </w:r>
      <w:r w:rsidRPr="001D74B9">
        <w:rPr>
          <w:lang w:val="en-GB"/>
        </w:rPr>
        <w:t xml:space="preserve"> has tended to reveal </w:t>
      </w:r>
      <w:r w:rsidR="006859E1" w:rsidRPr="001D74B9">
        <w:rPr>
          <w:lang w:val="en-GB"/>
        </w:rPr>
        <w:t>its use as</w:t>
      </w:r>
      <w:r w:rsidRPr="001D74B9">
        <w:rPr>
          <w:lang w:val="en-GB"/>
        </w:rPr>
        <w:t xml:space="preserve"> an instrument to provide solutions</w:t>
      </w:r>
      <w:r w:rsidR="009E7E77" w:rsidRPr="001D74B9">
        <w:rPr>
          <w:lang w:val="en-GB"/>
        </w:rPr>
        <w:t>.</w:t>
      </w:r>
      <w:r w:rsidRPr="001D74B9">
        <w:rPr>
          <w:lang w:val="en-GB"/>
        </w:rPr>
        <w:t xml:space="preserve"> It is clear that the responses from the social partners </w:t>
      </w:r>
      <w:r w:rsidR="00257E9F" w:rsidRPr="001D74B9">
        <w:rPr>
          <w:lang w:val="en-GB"/>
        </w:rPr>
        <w:t xml:space="preserve">were </w:t>
      </w:r>
      <w:r w:rsidR="009671E1" w:rsidRPr="001D74B9">
        <w:rPr>
          <w:lang w:val="en-GB"/>
        </w:rPr>
        <w:t xml:space="preserve">either </w:t>
      </w:r>
      <w:r w:rsidRPr="001D74B9">
        <w:rPr>
          <w:lang w:val="en-GB"/>
        </w:rPr>
        <w:t>directed towards securing employment and avoiding redundancies</w:t>
      </w:r>
      <w:r w:rsidR="008A7135" w:rsidRPr="001D74B9">
        <w:rPr>
          <w:lang w:val="en-GB"/>
        </w:rPr>
        <w:t>, or</w:t>
      </w:r>
      <w:r w:rsidR="009969D5" w:rsidRPr="001D74B9">
        <w:rPr>
          <w:lang w:val="en-GB"/>
        </w:rPr>
        <w:t xml:space="preserve"> </w:t>
      </w:r>
      <w:r w:rsidR="00DD77DE" w:rsidRPr="001D74B9">
        <w:rPr>
          <w:lang w:val="en-GB"/>
        </w:rPr>
        <w:t>limiting</w:t>
      </w:r>
      <w:r w:rsidRPr="001D74B9">
        <w:rPr>
          <w:lang w:val="en-GB"/>
        </w:rPr>
        <w:t xml:space="preserve"> the extent and the consequences of job losses. Social dialogue </w:t>
      </w:r>
      <w:r w:rsidR="001B30D4" w:rsidRPr="001D74B9">
        <w:rPr>
          <w:lang w:val="en-GB"/>
        </w:rPr>
        <w:t>is</w:t>
      </w:r>
      <w:r w:rsidRPr="001D74B9">
        <w:rPr>
          <w:lang w:val="en-GB"/>
        </w:rPr>
        <w:t xml:space="preserve"> an important instrument which, in some circumstances, has been encouraged by governments to combat the negative economic and social consequences of the global economic crisis. </w:t>
      </w:r>
      <w:r w:rsidR="00B30A88" w:rsidRPr="001D74B9">
        <w:rPr>
          <w:lang w:val="en-GB"/>
        </w:rPr>
        <w:t>"</w:t>
      </w:r>
      <w:r w:rsidRPr="001D74B9">
        <w:rPr>
          <w:lang w:val="en-GB"/>
        </w:rPr>
        <w:t>Collective bargaining ha</w:t>
      </w:r>
      <w:r w:rsidR="003E6473" w:rsidRPr="001D74B9">
        <w:rPr>
          <w:lang w:val="en-GB"/>
        </w:rPr>
        <w:t>s</w:t>
      </w:r>
      <w:r w:rsidRPr="001D74B9">
        <w:rPr>
          <w:lang w:val="en-GB"/>
        </w:rPr>
        <w:t xml:space="preserve"> been used as tools to avoid the worst, which means redundancies, extensive </w:t>
      </w:r>
      <w:r w:rsidR="008F3CDF" w:rsidRPr="001D74B9">
        <w:rPr>
          <w:lang w:val="en-GB"/>
        </w:rPr>
        <w:t>job losses and company closures</w:t>
      </w:r>
      <w:r w:rsidRPr="001D74B9">
        <w:rPr>
          <w:lang w:val="en-GB"/>
        </w:rPr>
        <w:t>.</w:t>
      </w:r>
      <w:r w:rsidR="00B30A88" w:rsidRPr="001D74B9">
        <w:rPr>
          <w:lang w:val="en-GB"/>
        </w:rPr>
        <w:t>"</w:t>
      </w:r>
      <w:r w:rsidR="007F31CD" w:rsidRPr="001D74B9">
        <w:rPr>
          <w:rStyle w:val="FootnoteReference"/>
          <w:lang w:val="en-GB"/>
        </w:rPr>
        <w:footnoteReference w:id="34"/>
      </w:r>
    </w:p>
    <w:p w14:paraId="4669C6CF" w14:textId="77777777" w:rsidR="008F3CDF" w:rsidRPr="001D74B9" w:rsidRDefault="008F3CDF" w:rsidP="00CD407F">
      <w:pPr>
        <w:rPr>
          <w:lang w:val="en-GB"/>
        </w:rPr>
      </w:pPr>
    </w:p>
    <w:p w14:paraId="62FCC59E" w14:textId="77777777" w:rsidR="00E21E4D" w:rsidRPr="001D74B9" w:rsidRDefault="00D872DA">
      <w:pPr>
        <w:pStyle w:val="Heading2"/>
        <w:rPr>
          <w:lang w:val="en-GB"/>
        </w:rPr>
      </w:pPr>
      <w:r w:rsidRPr="001D74B9">
        <w:rPr>
          <w:lang w:val="en-GB"/>
        </w:rPr>
        <w:t xml:space="preserve">National </w:t>
      </w:r>
      <w:r w:rsidR="00D540C5" w:rsidRPr="001D74B9">
        <w:rPr>
          <w:lang w:val="en-GB"/>
        </w:rPr>
        <w:t>s</w:t>
      </w:r>
      <w:r w:rsidRPr="001D74B9">
        <w:rPr>
          <w:lang w:val="en-GB"/>
        </w:rPr>
        <w:t>ocial partner responses to the labour</w:t>
      </w:r>
      <w:r w:rsidR="00257E9F" w:rsidRPr="001D74B9">
        <w:rPr>
          <w:lang w:val="en-GB"/>
        </w:rPr>
        <w:t>-</w:t>
      </w:r>
      <w:r w:rsidRPr="001D74B9">
        <w:rPr>
          <w:lang w:val="en-GB"/>
        </w:rPr>
        <w:t>market effects of the financial crisis were shaped by three main factors: the depth of the economic crisis, the institutional set-up of industrial relat</w:t>
      </w:r>
      <w:r w:rsidR="00D50930" w:rsidRPr="001D74B9">
        <w:rPr>
          <w:lang w:val="en-GB"/>
        </w:rPr>
        <w:t>ions, and government decisions.</w:t>
      </w:r>
      <w:r w:rsidR="00475FE5" w:rsidRPr="001D74B9">
        <w:rPr>
          <w:lang w:val="en-GB"/>
        </w:rPr>
        <w:t xml:space="preserve"> </w:t>
      </w:r>
      <w:r w:rsidRPr="001D74B9">
        <w:rPr>
          <w:lang w:val="en-GB"/>
        </w:rPr>
        <w:t>In countries with well-established social dialogue institutions</w:t>
      </w:r>
      <w:r w:rsidR="001B30D4" w:rsidRPr="001D74B9">
        <w:rPr>
          <w:lang w:val="en-GB"/>
        </w:rPr>
        <w:t>, the</w:t>
      </w:r>
      <w:r w:rsidRPr="001D74B9">
        <w:rPr>
          <w:lang w:val="en-GB"/>
        </w:rPr>
        <w:t xml:space="preserve"> social partners were actively involved in the design of rapid and effective tripartite responses at sector or enterprise level. The patterns of intervention varied markedly between Member States. A key determining factor in the success or failure of social dialogue appeared to be the extent of government support for the process and timely involvement of</w:t>
      </w:r>
      <w:r w:rsidR="00FA3889" w:rsidRPr="001D74B9">
        <w:rPr>
          <w:lang w:val="en-GB"/>
        </w:rPr>
        <w:t xml:space="preserve"> </w:t>
      </w:r>
      <w:r w:rsidR="00257E9F" w:rsidRPr="001D74B9">
        <w:rPr>
          <w:lang w:val="en-GB"/>
        </w:rPr>
        <w:t xml:space="preserve">the </w:t>
      </w:r>
      <w:r w:rsidR="00FA3889" w:rsidRPr="001D74B9">
        <w:rPr>
          <w:lang w:val="en-GB"/>
        </w:rPr>
        <w:t>social partners</w:t>
      </w:r>
      <w:r w:rsidR="00537E2F" w:rsidRPr="001D74B9">
        <w:rPr>
          <w:rStyle w:val="FootnoteReference"/>
          <w:lang w:val="en-GB"/>
        </w:rPr>
        <w:footnoteReference w:id="35"/>
      </w:r>
      <w:r w:rsidRPr="001D74B9">
        <w:rPr>
          <w:lang w:val="en-GB"/>
        </w:rPr>
        <w:t xml:space="preserve">. The following general pattern can be found: while in the early phase of the crisis (2008–2010) under severe economic stress, the social partners </w:t>
      </w:r>
      <w:r w:rsidR="00830E2B" w:rsidRPr="001D74B9">
        <w:rPr>
          <w:lang w:val="en-GB"/>
        </w:rPr>
        <w:t>took action,</w:t>
      </w:r>
      <w:r w:rsidRPr="001D74B9">
        <w:rPr>
          <w:lang w:val="en-GB"/>
        </w:rPr>
        <w:t xml:space="preserve"> with the common aim </w:t>
      </w:r>
      <w:r w:rsidR="00830E2B" w:rsidRPr="001D74B9">
        <w:rPr>
          <w:lang w:val="en-GB"/>
        </w:rPr>
        <w:t>of</w:t>
      </w:r>
      <w:r w:rsidRPr="001D74B9">
        <w:rPr>
          <w:lang w:val="en-GB"/>
        </w:rPr>
        <w:t xml:space="preserve"> maintain</w:t>
      </w:r>
      <w:r w:rsidR="00830E2B" w:rsidRPr="001D74B9">
        <w:rPr>
          <w:lang w:val="en-GB"/>
        </w:rPr>
        <w:t>ing</w:t>
      </w:r>
      <w:r w:rsidRPr="001D74B9">
        <w:rPr>
          <w:lang w:val="en-GB"/>
        </w:rPr>
        <w:t xml:space="preserve"> existing jobs and the overall employment level</w:t>
      </w:r>
      <w:r w:rsidR="0057006F" w:rsidRPr="001D74B9">
        <w:rPr>
          <w:lang w:val="en-GB"/>
        </w:rPr>
        <w:t>,</w:t>
      </w:r>
      <w:r w:rsidRPr="001D74B9">
        <w:rPr>
          <w:lang w:val="en-GB"/>
        </w:rPr>
        <w:t xml:space="preserve"> making use of automatic social stabili</w:t>
      </w:r>
      <w:r w:rsidR="0057006F" w:rsidRPr="001D74B9">
        <w:rPr>
          <w:lang w:val="en-GB"/>
        </w:rPr>
        <w:t>s</w:t>
      </w:r>
      <w:r w:rsidRPr="001D74B9">
        <w:rPr>
          <w:lang w:val="en-GB"/>
        </w:rPr>
        <w:t>ers where the</w:t>
      </w:r>
      <w:r w:rsidR="0057006F" w:rsidRPr="001D74B9">
        <w:rPr>
          <w:lang w:val="en-GB"/>
        </w:rPr>
        <w:t>se</w:t>
      </w:r>
      <w:r w:rsidRPr="001D74B9">
        <w:rPr>
          <w:lang w:val="en-GB"/>
        </w:rPr>
        <w:t xml:space="preserve"> exist</w:t>
      </w:r>
      <w:r w:rsidR="0057006F" w:rsidRPr="001D74B9">
        <w:rPr>
          <w:lang w:val="en-GB"/>
        </w:rPr>
        <w:t>ed</w:t>
      </w:r>
      <w:r w:rsidRPr="001D74B9">
        <w:rPr>
          <w:lang w:val="en-GB"/>
        </w:rPr>
        <w:t xml:space="preserve">. This happened not only through national tripartite negotiations but was also reflected in the bilateral collective agreements at sectoral/branch and </w:t>
      </w:r>
      <w:r w:rsidR="009626AA" w:rsidRPr="001D74B9">
        <w:rPr>
          <w:lang w:val="en-GB"/>
        </w:rPr>
        <w:t>company</w:t>
      </w:r>
      <w:r w:rsidRPr="001D74B9">
        <w:rPr>
          <w:lang w:val="en-GB"/>
        </w:rPr>
        <w:t xml:space="preserve"> levels</w:t>
      </w:r>
      <w:r w:rsidR="00C21544" w:rsidRPr="001D74B9">
        <w:rPr>
          <w:rStyle w:val="FootnoteReference"/>
          <w:lang w:val="en-GB"/>
        </w:rPr>
        <w:footnoteReference w:id="36"/>
      </w:r>
      <w:r w:rsidRPr="001D74B9">
        <w:rPr>
          <w:lang w:val="en-GB"/>
        </w:rPr>
        <w:t xml:space="preserve">. </w:t>
      </w:r>
    </w:p>
    <w:p w14:paraId="760808B8" w14:textId="77777777" w:rsidR="00E21E4D" w:rsidRPr="001D74B9" w:rsidRDefault="00E21E4D">
      <w:pPr>
        <w:rPr>
          <w:lang w:val="en-GB"/>
        </w:rPr>
      </w:pPr>
    </w:p>
    <w:p w14:paraId="2D437055" w14:textId="77777777" w:rsidR="00D872DA" w:rsidRPr="001D74B9" w:rsidRDefault="00D872DA">
      <w:pPr>
        <w:pStyle w:val="Heading2"/>
        <w:rPr>
          <w:lang w:val="en-GB"/>
        </w:rPr>
      </w:pPr>
      <w:r w:rsidRPr="001D74B9">
        <w:rPr>
          <w:lang w:val="en-GB"/>
        </w:rPr>
        <w:t>Whereas in the second phase of the crisis (2011–2014), there were many significant impacts on a range of aspects of industrial relations in the Member States</w:t>
      </w:r>
      <w:r w:rsidR="00AC1620" w:rsidRPr="001D74B9">
        <w:rPr>
          <w:rStyle w:val="FootnoteReference"/>
          <w:lang w:val="en-GB"/>
        </w:rPr>
        <w:footnoteReference w:id="37"/>
      </w:r>
      <w:r w:rsidR="00931640" w:rsidRPr="001D74B9">
        <w:rPr>
          <w:lang w:val="en-GB"/>
        </w:rPr>
        <w:t>:</w:t>
      </w:r>
      <w:r w:rsidRPr="001D74B9">
        <w:rPr>
          <w:lang w:val="en-GB"/>
        </w:rPr>
        <w:t xml:space="preserve"> One of this was a trend towards further decentrali</w:t>
      </w:r>
      <w:r w:rsidR="0057006F" w:rsidRPr="001D74B9">
        <w:rPr>
          <w:lang w:val="en-GB"/>
        </w:rPr>
        <w:t>s</w:t>
      </w:r>
      <w:r w:rsidRPr="001D74B9">
        <w:rPr>
          <w:lang w:val="en-GB"/>
        </w:rPr>
        <w:t>ation in collective bargaining. In some of the Member States</w:t>
      </w:r>
      <w:r w:rsidR="0057006F" w:rsidRPr="001D74B9">
        <w:rPr>
          <w:lang w:val="en-GB"/>
        </w:rPr>
        <w:t>,</w:t>
      </w:r>
      <w:r w:rsidRPr="001D74B9">
        <w:rPr>
          <w:lang w:val="en-GB"/>
        </w:rPr>
        <w:t xml:space="preserve"> the combined effect of more unilateral decision-making by governments and </w:t>
      </w:r>
      <w:r w:rsidR="0057006F" w:rsidRPr="001D74B9">
        <w:rPr>
          <w:lang w:val="en-GB"/>
        </w:rPr>
        <w:t xml:space="preserve">the </w:t>
      </w:r>
      <w:r w:rsidRPr="001D74B9">
        <w:rPr>
          <w:lang w:val="en-GB"/>
        </w:rPr>
        <w:t>decentrali</w:t>
      </w:r>
      <w:r w:rsidR="0057006F" w:rsidRPr="001D74B9">
        <w:rPr>
          <w:lang w:val="en-GB"/>
        </w:rPr>
        <w:t>s</w:t>
      </w:r>
      <w:r w:rsidRPr="001D74B9">
        <w:rPr>
          <w:lang w:val="en-GB"/>
        </w:rPr>
        <w:t xml:space="preserve">ation of collective bargaining led to less multi-employer bargaining and a drop in collective bargaining coverage. Also in the Central and East European industrial relations systems, a drift towards more voluntary and </w:t>
      </w:r>
      <w:r w:rsidR="0057006F" w:rsidRPr="001D74B9">
        <w:rPr>
          <w:lang w:val="en-GB"/>
        </w:rPr>
        <w:t>fewer</w:t>
      </w:r>
      <w:r w:rsidRPr="001D74B9">
        <w:rPr>
          <w:lang w:val="en-GB"/>
        </w:rPr>
        <w:t xml:space="preserve"> tripartite structures and processes took place</w:t>
      </w:r>
      <w:r w:rsidR="00AB5422" w:rsidRPr="001D74B9">
        <w:rPr>
          <w:rStyle w:val="FootnoteReference"/>
          <w:lang w:val="en-GB"/>
        </w:rPr>
        <w:footnoteReference w:id="38"/>
      </w:r>
      <w:r w:rsidRPr="001D74B9">
        <w:rPr>
          <w:lang w:val="en-GB"/>
        </w:rPr>
        <w:t xml:space="preserve">. </w:t>
      </w:r>
    </w:p>
    <w:p w14:paraId="13E335D8" w14:textId="77777777" w:rsidR="00D872DA" w:rsidRPr="001D74B9" w:rsidRDefault="00D872DA" w:rsidP="00CD407F">
      <w:pPr>
        <w:pStyle w:val="Heading2"/>
        <w:numPr>
          <w:ilvl w:val="0"/>
          <w:numId w:val="0"/>
        </w:numPr>
        <w:ind w:left="567"/>
        <w:rPr>
          <w:lang w:val="en-GB"/>
        </w:rPr>
      </w:pPr>
    </w:p>
    <w:p w14:paraId="0E9549BB" w14:textId="77777777" w:rsidR="00D872DA" w:rsidRPr="001D74B9" w:rsidRDefault="00D872DA">
      <w:pPr>
        <w:pStyle w:val="Heading2"/>
        <w:rPr>
          <w:lang w:val="en-GB"/>
        </w:rPr>
      </w:pPr>
      <w:r w:rsidRPr="001D74B9">
        <w:rPr>
          <w:lang w:val="en-GB"/>
        </w:rPr>
        <w:t xml:space="preserve">The Member States in which the impact of the crisis has been most severe on industrial relations were the ones </w:t>
      </w:r>
      <w:r w:rsidR="003C3DD7" w:rsidRPr="001D74B9">
        <w:rPr>
          <w:lang w:val="en-GB"/>
        </w:rPr>
        <w:t>hardest</w:t>
      </w:r>
      <w:r w:rsidRPr="001D74B9">
        <w:rPr>
          <w:lang w:val="en-GB"/>
        </w:rPr>
        <w:t xml:space="preserve"> hit by the crisis</w:t>
      </w:r>
      <w:r w:rsidR="003F733A" w:rsidRPr="001D74B9">
        <w:rPr>
          <w:lang w:val="en-GB"/>
        </w:rPr>
        <w:t xml:space="preserve"> from the economic and social point of </w:t>
      </w:r>
      <w:r w:rsidR="008A21D4" w:rsidRPr="001D74B9">
        <w:rPr>
          <w:lang w:val="en-GB"/>
        </w:rPr>
        <w:t>view</w:t>
      </w:r>
      <w:r w:rsidRPr="001D74B9">
        <w:rPr>
          <w:lang w:val="en-GB"/>
        </w:rPr>
        <w:t>. The social partners in Greece, Ireland, Portugal and Spain, for example, had little room for manoeuvre, given the scale of the economic adjustments these countries have had to make</w:t>
      </w:r>
      <w:r w:rsidR="00BB5EF1" w:rsidRPr="001D74B9">
        <w:rPr>
          <w:rStyle w:val="FootnoteReference"/>
          <w:lang w:val="en-GB"/>
        </w:rPr>
        <w:footnoteReference w:id="39"/>
      </w:r>
      <w:r w:rsidR="00931640" w:rsidRPr="001D74B9">
        <w:rPr>
          <w:lang w:val="en-GB"/>
        </w:rPr>
        <w:t>.</w:t>
      </w:r>
      <w:r w:rsidRPr="001D74B9">
        <w:rPr>
          <w:lang w:val="en-GB"/>
        </w:rPr>
        <w:t xml:space="preserve"> The industrial relations systems of Nordic and Central </w:t>
      </w:r>
      <w:r w:rsidR="003C3DD7" w:rsidRPr="001D74B9">
        <w:rPr>
          <w:lang w:val="en-GB"/>
        </w:rPr>
        <w:t xml:space="preserve">European </w:t>
      </w:r>
      <w:r w:rsidRPr="001D74B9">
        <w:rPr>
          <w:lang w:val="en-GB"/>
        </w:rPr>
        <w:t>countries contained more potential flexibility for actors and processes (e.g. opening clauses in collective agreements), enabling them to adapt more readily to changes in the economic environment.</w:t>
      </w:r>
      <w:r w:rsidR="00E2667A" w:rsidRPr="001D74B9">
        <w:rPr>
          <w:lang w:val="en-GB"/>
        </w:rPr>
        <w:t xml:space="preserve"> </w:t>
      </w:r>
      <w:r w:rsidR="00FD18C1" w:rsidRPr="001D74B9">
        <w:rPr>
          <w:lang w:val="en-GB"/>
        </w:rPr>
        <w:t>Hence, ro</w:t>
      </w:r>
      <w:r w:rsidRPr="001D74B9">
        <w:rPr>
          <w:lang w:val="en-GB"/>
        </w:rPr>
        <w:t>bust relationships between the social partners allowed</w:t>
      </w:r>
      <w:r w:rsidR="008A21D4" w:rsidRPr="001D74B9">
        <w:rPr>
          <w:lang w:val="en-GB"/>
        </w:rPr>
        <w:t xml:space="preserve"> </w:t>
      </w:r>
      <w:r w:rsidR="00E2667A" w:rsidRPr="001D74B9">
        <w:rPr>
          <w:lang w:val="en-GB"/>
        </w:rPr>
        <w:t>more</w:t>
      </w:r>
      <w:r w:rsidR="008A21D4" w:rsidRPr="001D74B9">
        <w:rPr>
          <w:lang w:val="en-GB"/>
        </w:rPr>
        <w:t xml:space="preserve"> </w:t>
      </w:r>
      <w:r w:rsidRPr="001D74B9">
        <w:rPr>
          <w:lang w:val="en-GB"/>
        </w:rPr>
        <w:t xml:space="preserve">positive outcomes. </w:t>
      </w:r>
    </w:p>
    <w:p w14:paraId="28087655" w14:textId="77777777" w:rsidR="00D872DA" w:rsidRPr="001D74B9" w:rsidRDefault="00D872DA" w:rsidP="00CD407F">
      <w:pPr>
        <w:pStyle w:val="Heading2"/>
        <w:numPr>
          <w:ilvl w:val="0"/>
          <w:numId w:val="0"/>
        </w:numPr>
        <w:ind w:left="567"/>
        <w:rPr>
          <w:lang w:val="en-GB"/>
        </w:rPr>
      </w:pPr>
    </w:p>
    <w:p w14:paraId="67B06162" w14:textId="77777777" w:rsidR="00D872DA" w:rsidRPr="001D74B9" w:rsidRDefault="00D872DA">
      <w:pPr>
        <w:pStyle w:val="Heading2"/>
        <w:rPr>
          <w:lang w:val="en-GB"/>
        </w:rPr>
      </w:pPr>
      <w:r w:rsidRPr="001D74B9">
        <w:rPr>
          <w:lang w:val="en-GB"/>
        </w:rPr>
        <w:t xml:space="preserve">Two types of measures to alleviate the impact of the crisis were introduced. The first focused on avoiding redundancies and the second on mitigating the effects of redundancies. The avoidance of redundancies included short-time working schemes in various forms in different countries, but it was also evident that some parts of the population and vulnerable groups of workers in non-standard forms of work were not covered by any form of social protection, which makes inclusiveness in social protection systems and efficient public services a priority </w:t>
      </w:r>
      <w:r w:rsidR="003C3DD7" w:rsidRPr="001D74B9">
        <w:rPr>
          <w:lang w:val="en-GB"/>
        </w:rPr>
        <w:t>for</w:t>
      </w:r>
      <w:r w:rsidRPr="001D74B9">
        <w:rPr>
          <w:lang w:val="en-GB"/>
        </w:rPr>
        <w:t xml:space="preserve"> public policy</w:t>
      </w:r>
      <w:r w:rsidR="0033112A" w:rsidRPr="001D74B9">
        <w:rPr>
          <w:lang w:val="en-GB"/>
        </w:rPr>
        <w:t>.</w:t>
      </w:r>
      <w:r w:rsidR="00420E43" w:rsidRPr="001D74B9">
        <w:rPr>
          <w:lang w:val="en-GB"/>
        </w:rPr>
        <w:t xml:space="preserve"> </w:t>
      </w:r>
      <w:r w:rsidR="00421B65" w:rsidRPr="001D74B9">
        <w:rPr>
          <w:lang w:val="en-GB"/>
        </w:rPr>
        <w:t xml:space="preserve">Short-time </w:t>
      </w:r>
      <w:r w:rsidR="00FE2C5A" w:rsidRPr="001D74B9">
        <w:rPr>
          <w:lang w:val="en-GB"/>
        </w:rPr>
        <w:t xml:space="preserve">working schemes and unemployment period covered by benefits </w:t>
      </w:r>
      <w:r w:rsidR="00A2054A" w:rsidRPr="001D74B9">
        <w:rPr>
          <w:lang w:val="en-GB"/>
        </w:rPr>
        <w:t>were</w:t>
      </w:r>
      <w:r w:rsidR="00FE2C5A" w:rsidRPr="001D74B9">
        <w:rPr>
          <w:lang w:val="en-GB"/>
        </w:rPr>
        <w:t xml:space="preserve"> accompanied </w:t>
      </w:r>
      <w:r w:rsidR="009E6F9C" w:rsidRPr="001D74B9">
        <w:rPr>
          <w:lang w:val="en-GB"/>
        </w:rPr>
        <w:t>by upskilling and reskilling</w:t>
      </w:r>
      <w:r w:rsidR="0021167A" w:rsidRPr="001D74B9">
        <w:rPr>
          <w:lang w:val="en-GB"/>
        </w:rPr>
        <w:t xml:space="preserve">. </w:t>
      </w:r>
      <w:r w:rsidR="00430770" w:rsidRPr="001D74B9">
        <w:rPr>
          <w:lang w:val="en-GB"/>
        </w:rPr>
        <w:t>This could have been seen in many cases</w:t>
      </w:r>
      <w:r w:rsidR="0004658A" w:rsidRPr="001D74B9">
        <w:rPr>
          <w:lang w:val="en-GB"/>
        </w:rPr>
        <w:t xml:space="preserve"> </w:t>
      </w:r>
      <w:r w:rsidR="006C77D8" w:rsidRPr="001D74B9">
        <w:rPr>
          <w:lang w:val="en-GB"/>
        </w:rPr>
        <w:t xml:space="preserve">and should be considered as a good practice </w:t>
      </w:r>
      <w:r w:rsidR="00730174" w:rsidRPr="001D74B9">
        <w:rPr>
          <w:lang w:val="en-GB"/>
        </w:rPr>
        <w:t>in facing crisis.</w:t>
      </w:r>
      <w:r w:rsidR="009E6F9C" w:rsidRPr="001D74B9">
        <w:rPr>
          <w:lang w:val="en-GB"/>
        </w:rPr>
        <w:t xml:space="preserve"> </w:t>
      </w:r>
    </w:p>
    <w:p w14:paraId="7494E9E1" w14:textId="77777777" w:rsidR="0033112A" w:rsidRPr="001D74B9" w:rsidRDefault="0033112A">
      <w:pPr>
        <w:rPr>
          <w:lang w:val="en-GB"/>
        </w:rPr>
      </w:pPr>
    </w:p>
    <w:p w14:paraId="0FDD518E" w14:textId="77777777" w:rsidR="00D872DA" w:rsidRPr="001D74B9" w:rsidRDefault="00D872DA">
      <w:pPr>
        <w:pStyle w:val="Heading2"/>
        <w:rPr>
          <w:lang w:val="en-GB"/>
        </w:rPr>
      </w:pPr>
      <w:r w:rsidRPr="001D74B9">
        <w:rPr>
          <w:lang w:val="en-GB"/>
        </w:rPr>
        <w:t xml:space="preserve">The second type of response to mitigate the effects </w:t>
      </w:r>
      <w:r w:rsidR="00634D8F" w:rsidRPr="001D74B9">
        <w:rPr>
          <w:lang w:val="en-GB"/>
        </w:rPr>
        <w:t>was</w:t>
      </w:r>
      <w:r w:rsidRPr="001D74B9">
        <w:rPr>
          <w:lang w:val="en-GB"/>
        </w:rPr>
        <w:t xml:space="preserve"> divided between negotiations over severance pay, for which there was a large demand from workers, and agreements reached between trade unions and employers to support a return to the labour force for those made redundant. These agreements took various forms due to diverse national institutional settings: for example</w:t>
      </w:r>
      <w:r w:rsidR="00634D8F" w:rsidRPr="001D74B9">
        <w:rPr>
          <w:lang w:val="en-GB"/>
        </w:rPr>
        <w:t>,</w:t>
      </w:r>
      <w:r w:rsidRPr="001D74B9">
        <w:rPr>
          <w:lang w:val="en-GB"/>
        </w:rPr>
        <w:t xml:space="preserve"> job</w:t>
      </w:r>
      <w:r w:rsidR="00634D8F" w:rsidRPr="001D74B9">
        <w:rPr>
          <w:lang w:val="en-GB"/>
        </w:rPr>
        <w:t>-</w:t>
      </w:r>
      <w:r w:rsidRPr="001D74B9">
        <w:rPr>
          <w:lang w:val="en-GB"/>
        </w:rPr>
        <w:t>to</w:t>
      </w:r>
      <w:r w:rsidR="00634D8F" w:rsidRPr="001D74B9">
        <w:rPr>
          <w:lang w:val="en-GB"/>
        </w:rPr>
        <w:t>-</w:t>
      </w:r>
      <w:r w:rsidRPr="001D74B9">
        <w:rPr>
          <w:lang w:val="en-GB"/>
        </w:rPr>
        <w:t>job transition (in the Netherlands), transfer companies (in Germany), job security councils (in Sweden) and work foundations (in Austria). These measures were often accompanied by offers of counselling, redeployment measures, reskilling and information on job vacancies. The full range of measures can be found in the European Commission</w:t>
      </w:r>
      <w:r w:rsidR="00073741" w:rsidRPr="001D74B9">
        <w:rPr>
          <w:lang w:val="en-GB"/>
        </w:rPr>
        <w:t xml:space="preserve"> publication</w:t>
      </w:r>
      <w:r w:rsidRPr="001D74B9">
        <w:rPr>
          <w:lang w:val="en-GB"/>
        </w:rPr>
        <w:t xml:space="preserve"> Industrial relations in Europe</w:t>
      </w:r>
      <w:r w:rsidR="00130A99" w:rsidRPr="001D74B9">
        <w:rPr>
          <w:lang w:val="en-GB"/>
        </w:rPr>
        <w:t xml:space="preserve"> </w:t>
      </w:r>
      <w:r w:rsidRPr="001D74B9">
        <w:rPr>
          <w:lang w:val="en-GB"/>
        </w:rPr>
        <w:t>2010</w:t>
      </w:r>
      <w:r w:rsidR="00C67020" w:rsidRPr="001D74B9">
        <w:rPr>
          <w:rStyle w:val="FootnoteReference"/>
          <w:lang w:val="en-GB"/>
        </w:rPr>
        <w:footnoteReference w:id="40"/>
      </w:r>
      <w:r w:rsidRPr="001D74B9">
        <w:rPr>
          <w:lang w:val="en-GB"/>
        </w:rPr>
        <w:t xml:space="preserve">. </w:t>
      </w:r>
    </w:p>
    <w:p w14:paraId="4B437396" w14:textId="77777777" w:rsidR="008F34FC" w:rsidRPr="001D74B9" w:rsidRDefault="008F34FC">
      <w:pPr>
        <w:rPr>
          <w:lang w:val="en-GB"/>
        </w:rPr>
      </w:pPr>
    </w:p>
    <w:p w14:paraId="75B61F60" w14:textId="77777777" w:rsidR="00D872DA" w:rsidRPr="001D74B9" w:rsidRDefault="00D872DA">
      <w:pPr>
        <w:pStyle w:val="Heading2"/>
        <w:rPr>
          <w:lang w:val="en-GB"/>
        </w:rPr>
      </w:pPr>
      <w:r w:rsidRPr="001D74B9">
        <w:rPr>
          <w:lang w:val="en-GB"/>
        </w:rPr>
        <w:t>Social dialogue has a crucial role in devising timely and targeted responses to support employment and economic recovery at times of crisis but</w:t>
      </w:r>
      <w:r w:rsidR="00571A65" w:rsidRPr="001D74B9">
        <w:rPr>
          <w:lang w:val="en-GB"/>
        </w:rPr>
        <w:t>, alone,</w:t>
      </w:r>
      <w:r w:rsidRPr="001D74B9">
        <w:rPr>
          <w:lang w:val="en-GB"/>
        </w:rPr>
        <w:t xml:space="preserve"> it cannot solve all problems. Sound public policies and regulations and appropriate fiscal space are especially crucial in </w:t>
      </w:r>
      <w:r w:rsidR="0056526F" w:rsidRPr="001D74B9">
        <w:rPr>
          <w:lang w:val="en-GB"/>
        </w:rPr>
        <w:t>a</w:t>
      </w:r>
      <w:r w:rsidRPr="001D74B9">
        <w:rPr>
          <w:lang w:val="en-GB"/>
        </w:rPr>
        <w:t xml:space="preserve"> crisis context</w:t>
      </w:r>
      <w:r w:rsidR="00A31F2A" w:rsidRPr="001D74B9">
        <w:rPr>
          <w:rStyle w:val="FootnoteReference"/>
          <w:lang w:val="en-GB"/>
        </w:rPr>
        <w:footnoteReference w:id="41"/>
      </w:r>
      <w:r w:rsidR="00A31F2A" w:rsidRPr="001D74B9">
        <w:rPr>
          <w:lang w:val="en-GB"/>
        </w:rPr>
        <w:t>.</w:t>
      </w:r>
    </w:p>
    <w:p w14:paraId="044319B6" w14:textId="77777777" w:rsidR="00791A5A" w:rsidRPr="001D74B9" w:rsidRDefault="00791A5A">
      <w:pPr>
        <w:rPr>
          <w:lang w:val="en-GB"/>
        </w:rPr>
      </w:pPr>
    </w:p>
    <w:p w14:paraId="1D3E1736" w14:textId="77777777" w:rsidR="00D743D9" w:rsidRPr="001D74B9" w:rsidRDefault="00AC0C54" w:rsidP="00CD407F">
      <w:pPr>
        <w:pStyle w:val="Heading1"/>
        <w:keepNext/>
        <w:keepLines/>
        <w:overflowPunct w:val="0"/>
        <w:autoSpaceDE w:val="0"/>
        <w:autoSpaceDN w:val="0"/>
        <w:adjustRightInd w:val="0"/>
        <w:textAlignment w:val="baseline"/>
        <w:rPr>
          <w:b/>
          <w:bCs/>
          <w:lang w:val="en-GB"/>
        </w:rPr>
      </w:pPr>
      <w:r w:rsidRPr="001D74B9">
        <w:rPr>
          <w:b/>
          <w:bCs/>
          <w:lang w:val="en-GB"/>
        </w:rPr>
        <w:t>Workers' involvement in company management: a response to manage change</w:t>
      </w:r>
    </w:p>
    <w:p w14:paraId="720D4004" w14:textId="77777777" w:rsidR="00484971" w:rsidRPr="001D74B9" w:rsidRDefault="00484971" w:rsidP="00CD407F">
      <w:pPr>
        <w:pStyle w:val="Heading2"/>
        <w:keepNext/>
        <w:keepLines/>
        <w:numPr>
          <w:ilvl w:val="0"/>
          <w:numId w:val="0"/>
        </w:numPr>
        <w:rPr>
          <w:iCs/>
          <w:lang w:val="en-GB"/>
        </w:rPr>
      </w:pPr>
    </w:p>
    <w:p w14:paraId="015DCBA6" w14:textId="77777777" w:rsidR="00367661" w:rsidRPr="001D74B9" w:rsidRDefault="00484971" w:rsidP="00CD407F">
      <w:pPr>
        <w:pStyle w:val="Heading2"/>
        <w:rPr>
          <w:kern w:val="28"/>
          <w:lang w:val="en-GB"/>
        </w:rPr>
      </w:pPr>
      <w:r w:rsidRPr="001D74B9">
        <w:rPr>
          <w:lang w:val="en-GB"/>
        </w:rPr>
        <w:t xml:space="preserve">Industrial democracy is broadly understood as the governance of business processes </w:t>
      </w:r>
      <w:r w:rsidR="00225548" w:rsidRPr="001D74B9">
        <w:rPr>
          <w:iCs/>
          <w:lang w:val="en-GB"/>
        </w:rPr>
        <w:t xml:space="preserve">in </w:t>
      </w:r>
      <w:r w:rsidR="008825B6" w:rsidRPr="001D74B9">
        <w:rPr>
          <w:iCs/>
          <w:lang w:val="en-GB"/>
        </w:rPr>
        <w:t>"</w:t>
      </w:r>
      <w:r w:rsidR="00225548" w:rsidRPr="001D74B9">
        <w:rPr>
          <w:iCs/>
          <w:lang w:val="en-GB"/>
        </w:rPr>
        <w:t>sustainable</w:t>
      </w:r>
      <w:r w:rsidR="008825B6" w:rsidRPr="001D74B9">
        <w:rPr>
          <w:iCs/>
          <w:lang w:val="en-GB"/>
        </w:rPr>
        <w:t>"</w:t>
      </w:r>
      <w:r w:rsidR="001B6470" w:rsidRPr="001D74B9">
        <w:rPr>
          <w:rStyle w:val="FootnoteReference"/>
          <w:lang w:val="en-GB"/>
        </w:rPr>
        <w:footnoteReference w:id="42"/>
      </w:r>
      <w:r w:rsidR="00225548" w:rsidRPr="001D74B9">
        <w:rPr>
          <w:iCs/>
          <w:lang w:val="en-GB"/>
        </w:rPr>
        <w:t xml:space="preserve"> enterprises</w:t>
      </w:r>
      <w:r w:rsidR="008825B6" w:rsidRPr="001D74B9">
        <w:rPr>
          <w:iCs/>
          <w:lang w:val="en-GB"/>
        </w:rPr>
        <w:t>,</w:t>
      </w:r>
      <w:r w:rsidR="00225548" w:rsidRPr="001D74B9">
        <w:rPr>
          <w:iCs/>
          <w:lang w:val="en-GB"/>
        </w:rPr>
        <w:t xml:space="preserve"> </w:t>
      </w:r>
      <w:r w:rsidRPr="001D74B9">
        <w:rPr>
          <w:lang w:val="en-GB"/>
        </w:rPr>
        <w:t>based on social dialogue, collective bargaining and workers</w:t>
      </w:r>
      <w:r w:rsidR="00A90B16" w:rsidRPr="001D74B9">
        <w:rPr>
          <w:lang w:val="en-GB"/>
        </w:rPr>
        <w:t>'</w:t>
      </w:r>
      <w:r w:rsidRPr="001D74B9">
        <w:rPr>
          <w:lang w:val="en-GB"/>
        </w:rPr>
        <w:t xml:space="preserve"> information, consultation and participation at company level</w:t>
      </w:r>
      <w:r w:rsidRPr="001D74B9">
        <w:rPr>
          <w:rStyle w:val="FootnoteReference"/>
          <w:iCs/>
          <w:lang w:val="en-GB"/>
        </w:rPr>
        <w:footnoteReference w:id="43"/>
      </w:r>
      <w:r w:rsidR="003E418A" w:rsidRPr="001D74B9">
        <w:rPr>
          <w:lang w:val="en-GB"/>
        </w:rPr>
        <w:t xml:space="preserve">. </w:t>
      </w:r>
      <w:r w:rsidR="003E418A" w:rsidRPr="001D74B9">
        <w:rPr>
          <w:iCs/>
          <w:lang w:val="en-GB"/>
        </w:rPr>
        <w:t xml:space="preserve">Sound corporate governance can </w:t>
      </w:r>
      <w:r w:rsidR="008825B6" w:rsidRPr="001D74B9">
        <w:rPr>
          <w:iCs/>
          <w:lang w:val="en-GB"/>
        </w:rPr>
        <w:t>make it possible to</w:t>
      </w:r>
      <w:r w:rsidR="003E418A" w:rsidRPr="001D74B9">
        <w:rPr>
          <w:iCs/>
          <w:lang w:val="en-GB"/>
        </w:rPr>
        <w:t xml:space="preserve"> achiev</w:t>
      </w:r>
      <w:r w:rsidR="008825B6" w:rsidRPr="001D74B9">
        <w:rPr>
          <w:iCs/>
          <w:lang w:val="en-GB"/>
        </w:rPr>
        <w:t>e</w:t>
      </w:r>
      <w:r w:rsidR="003E418A" w:rsidRPr="001D74B9">
        <w:rPr>
          <w:iCs/>
          <w:lang w:val="en-GB"/>
        </w:rPr>
        <w:t xml:space="preserve"> positive economic targets</w:t>
      </w:r>
      <w:r w:rsidR="008825B6" w:rsidRPr="001D74B9">
        <w:rPr>
          <w:iCs/>
          <w:lang w:val="en-GB"/>
        </w:rPr>
        <w:t>,</w:t>
      </w:r>
      <w:r w:rsidR="003E418A" w:rsidRPr="001D74B9">
        <w:rPr>
          <w:iCs/>
          <w:lang w:val="en-GB"/>
        </w:rPr>
        <w:t xml:space="preserve"> together with social and environmental goals. A mix of legislative acts</w:t>
      </w:r>
      <w:r w:rsidR="008825B6" w:rsidRPr="001D74B9">
        <w:rPr>
          <w:iCs/>
          <w:lang w:val="en-GB"/>
        </w:rPr>
        <w:t>,</w:t>
      </w:r>
      <w:r w:rsidR="003E418A" w:rsidRPr="001D74B9">
        <w:rPr>
          <w:iCs/>
          <w:lang w:val="en-GB"/>
        </w:rPr>
        <w:t xml:space="preserve"> together with operational and policy measures</w:t>
      </w:r>
      <w:r w:rsidR="008825B6" w:rsidRPr="001D74B9">
        <w:rPr>
          <w:iCs/>
          <w:lang w:val="en-GB"/>
        </w:rPr>
        <w:t>,</w:t>
      </w:r>
      <w:r w:rsidR="003E418A" w:rsidRPr="001D74B9">
        <w:rPr>
          <w:iCs/>
          <w:lang w:val="en-GB"/>
        </w:rPr>
        <w:t xml:space="preserve"> </w:t>
      </w:r>
      <w:r w:rsidR="00FD33EB" w:rsidRPr="001D74B9">
        <w:rPr>
          <w:iCs/>
          <w:lang w:val="en-GB"/>
        </w:rPr>
        <w:t>is</w:t>
      </w:r>
      <w:r w:rsidR="003E418A" w:rsidRPr="001D74B9">
        <w:rPr>
          <w:iCs/>
          <w:lang w:val="en-GB"/>
        </w:rPr>
        <w:t xml:space="preserve"> </w:t>
      </w:r>
      <w:r w:rsidR="008825B6" w:rsidRPr="001D74B9">
        <w:rPr>
          <w:iCs/>
          <w:lang w:val="en-GB"/>
        </w:rPr>
        <w:t xml:space="preserve">currently </w:t>
      </w:r>
      <w:r w:rsidR="003E418A" w:rsidRPr="001D74B9">
        <w:rPr>
          <w:iCs/>
          <w:lang w:val="en-GB"/>
        </w:rPr>
        <w:t>in force</w:t>
      </w:r>
      <w:r w:rsidR="008825B6" w:rsidRPr="001D74B9">
        <w:rPr>
          <w:iCs/>
          <w:lang w:val="en-GB"/>
        </w:rPr>
        <w:t>,</w:t>
      </w:r>
      <w:r w:rsidR="003E418A" w:rsidRPr="001D74B9">
        <w:rPr>
          <w:iCs/>
          <w:lang w:val="en-GB"/>
        </w:rPr>
        <w:t xml:space="preserve"> taking into account national industrial relations' practices and situations in each business. Globali</w:t>
      </w:r>
      <w:r w:rsidR="008825B6" w:rsidRPr="001D74B9">
        <w:rPr>
          <w:iCs/>
          <w:lang w:val="en-GB"/>
        </w:rPr>
        <w:t>s</w:t>
      </w:r>
      <w:r w:rsidR="003E418A" w:rsidRPr="001D74B9">
        <w:rPr>
          <w:iCs/>
          <w:lang w:val="en-GB"/>
        </w:rPr>
        <w:t xml:space="preserve">ation and </w:t>
      </w:r>
      <w:r w:rsidR="008825B6" w:rsidRPr="001D74B9">
        <w:rPr>
          <w:iCs/>
          <w:lang w:val="en-GB"/>
        </w:rPr>
        <w:t xml:space="preserve">the </w:t>
      </w:r>
      <w:r w:rsidR="003E418A" w:rsidRPr="001D74B9">
        <w:rPr>
          <w:iCs/>
          <w:lang w:val="en-GB"/>
        </w:rPr>
        <w:t>transnational production processes of European enterprises have changed how flows of information around the company are structured</w:t>
      </w:r>
      <w:r w:rsidR="004736B0" w:rsidRPr="001D74B9">
        <w:rPr>
          <w:rStyle w:val="FootnoteReference"/>
          <w:iCs/>
          <w:lang w:val="en-GB"/>
        </w:rPr>
        <w:footnoteReference w:id="44"/>
      </w:r>
      <w:r w:rsidR="003E418A" w:rsidRPr="001D74B9">
        <w:rPr>
          <w:iCs/>
          <w:lang w:val="en-GB"/>
        </w:rPr>
        <w:t>.</w:t>
      </w:r>
      <w:r w:rsidRPr="001D74B9">
        <w:rPr>
          <w:lang w:val="en-GB"/>
        </w:rPr>
        <w:t xml:space="preserve"> T</w:t>
      </w:r>
      <w:r w:rsidRPr="001D74B9">
        <w:rPr>
          <w:kern w:val="28"/>
          <w:lang w:val="en-GB"/>
        </w:rPr>
        <w:t xml:space="preserve">he trustworthy collaboration between employers and </w:t>
      </w:r>
      <w:r w:rsidRPr="001D74B9">
        <w:rPr>
          <w:lang w:val="en-GB"/>
        </w:rPr>
        <w:t>workers has</w:t>
      </w:r>
      <w:r w:rsidRPr="001D74B9">
        <w:rPr>
          <w:kern w:val="28"/>
          <w:lang w:val="en-GB"/>
        </w:rPr>
        <w:t xml:space="preserve"> prove</w:t>
      </w:r>
      <w:r w:rsidRPr="001D74B9">
        <w:rPr>
          <w:lang w:val="en-GB"/>
        </w:rPr>
        <w:t>n</w:t>
      </w:r>
      <w:r w:rsidRPr="001D74B9">
        <w:rPr>
          <w:kern w:val="28"/>
          <w:lang w:val="en-GB"/>
        </w:rPr>
        <w:t xml:space="preserve"> </w:t>
      </w:r>
      <w:r w:rsidRPr="001D74B9">
        <w:rPr>
          <w:lang w:val="en-GB"/>
        </w:rPr>
        <w:t>its</w:t>
      </w:r>
      <w:r w:rsidRPr="001D74B9">
        <w:rPr>
          <w:kern w:val="28"/>
          <w:lang w:val="en-GB"/>
        </w:rPr>
        <w:t xml:space="preserve"> </w:t>
      </w:r>
      <w:r w:rsidRPr="001D74B9">
        <w:rPr>
          <w:lang w:val="en-GB"/>
        </w:rPr>
        <w:t>importance</w:t>
      </w:r>
      <w:r w:rsidRPr="001D74B9">
        <w:rPr>
          <w:kern w:val="28"/>
          <w:lang w:val="en-GB"/>
        </w:rPr>
        <w:t xml:space="preserve"> – latest in the </w:t>
      </w:r>
      <w:r w:rsidR="009778FC" w:rsidRPr="001D74B9">
        <w:rPr>
          <w:kern w:val="28"/>
          <w:lang w:val="en-GB"/>
        </w:rPr>
        <w:t>COVID</w:t>
      </w:r>
      <w:r w:rsidRPr="001D74B9">
        <w:rPr>
          <w:kern w:val="28"/>
          <w:lang w:val="en-GB"/>
        </w:rPr>
        <w:t>-19-pandemic.</w:t>
      </w:r>
    </w:p>
    <w:p w14:paraId="73C15507" w14:textId="77777777" w:rsidR="00484971" w:rsidRPr="001D74B9" w:rsidRDefault="00484971">
      <w:pPr>
        <w:pStyle w:val="Heading2"/>
        <w:numPr>
          <w:ilvl w:val="0"/>
          <w:numId w:val="0"/>
        </w:numPr>
        <w:ind w:left="567" w:hanging="567"/>
        <w:rPr>
          <w:iCs/>
          <w:lang w:val="en-GB"/>
        </w:rPr>
      </w:pPr>
    </w:p>
    <w:p w14:paraId="5AE7F397" w14:textId="77777777" w:rsidR="000C13A1" w:rsidRPr="001D74B9" w:rsidRDefault="00517F6A" w:rsidP="006D1A4A">
      <w:pPr>
        <w:pStyle w:val="Heading2"/>
        <w:rPr>
          <w:i/>
          <w:lang w:val="en-GB"/>
        </w:rPr>
      </w:pPr>
      <w:r w:rsidRPr="001D74B9">
        <w:rPr>
          <w:lang w:val="en-GB"/>
        </w:rPr>
        <w:t>Workers</w:t>
      </w:r>
      <w:r w:rsidR="00A90B16" w:rsidRPr="001D74B9">
        <w:rPr>
          <w:lang w:val="en-GB"/>
        </w:rPr>
        <w:t>'</w:t>
      </w:r>
      <w:r w:rsidR="00484971" w:rsidRPr="001D74B9">
        <w:rPr>
          <w:lang w:val="en-GB"/>
        </w:rPr>
        <w:t xml:space="preserve"> information, consultation and participation rights are fundamental social rights which are enshrined in international (ILO) and European (Council of Europe and EU) human rights instruments</w:t>
      </w:r>
      <w:r w:rsidR="009F58FE" w:rsidRPr="001D74B9">
        <w:rPr>
          <w:iCs/>
          <w:lang w:val="en-GB"/>
        </w:rPr>
        <w:t xml:space="preserve"> and are fundamental for effective</w:t>
      </w:r>
      <w:r w:rsidR="00484971" w:rsidRPr="001D74B9">
        <w:rPr>
          <w:lang w:val="en-GB"/>
        </w:rPr>
        <w:t xml:space="preserve"> social dialogue</w:t>
      </w:r>
      <w:r w:rsidR="003402CC" w:rsidRPr="001D74B9">
        <w:rPr>
          <w:lang w:val="en-GB"/>
        </w:rPr>
        <w:t>.</w:t>
      </w:r>
    </w:p>
    <w:p w14:paraId="0F78C00D" w14:textId="77777777" w:rsidR="000C13A1" w:rsidRPr="001D74B9" w:rsidRDefault="000C13A1" w:rsidP="001A1F0B">
      <w:pPr>
        <w:pStyle w:val="Heading2"/>
        <w:numPr>
          <w:ilvl w:val="0"/>
          <w:numId w:val="0"/>
        </w:numPr>
        <w:ind w:left="567"/>
        <w:rPr>
          <w:i/>
          <w:lang w:val="en-GB"/>
        </w:rPr>
      </w:pPr>
    </w:p>
    <w:p w14:paraId="266C5E2F" w14:textId="77777777" w:rsidR="00484971" w:rsidRPr="001D74B9" w:rsidRDefault="000C13A1" w:rsidP="00CD407F">
      <w:pPr>
        <w:pStyle w:val="Heading2"/>
        <w:rPr>
          <w:i/>
          <w:lang w:val="en-GB"/>
        </w:rPr>
      </w:pPr>
      <w:r w:rsidRPr="001D74B9">
        <w:rPr>
          <w:iCs/>
          <w:lang w:val="en-GB"/>
        </w:rPr>
        <w:t>At European level</w:t>
      </w:r>
      <w:r w:rsidRPr="001D74B9">
        <w:rPr>
          <w:lang w:val="en-GB"/>
        </w:rPr>
        <w:t>,</w:t>
      </w:r>
      <w:r w:rsidR="00484971" w:rsidRPr="001D74B9">
        <w:rPr>
          <w:lang w:val="en-GB"/>
        </w:rPr>
        <w:t xml:space="preserve"> workers</w:t>
      </w:r>
      <w:r w:rsidR="008B19BD" w:rsidRPr="001D74B9">
        <w:rPr>
          <w:lang w:val="en-GB"/>
        </w:rPr>
        <w:t>'</w:t>
      </w:r>
      <w:r w:rsidR="00484971" w:rsidRPr="001D74B9">
        <w:rPr>
          <w:lang w:val="en-GB"/>
        </w:rPr>
        <w:t xml:space="preserve"> </w:t>
      </w:r>
      <w:r w:rsidR="00304402" w:rsidRPr="001D74B9">
        <w:rPr>
          <w:iCs/>
          <w:lang w:val="en-GB"/>
        </w:rPr>
        <w:t>participation</w:t>
      </w:r>
      <w:r w:rsidR="00484971" w:rsidRPr="001D74B9">
        <w:rPr>
          <w:lang w:val="en-GB"/>
        </w:rPr>
        <w:t xml:space="preserve"> helps </w:t>
      </w:r>
      <w:r w:rsidR="00AC7DF4" w:rsidRPr="001D74B9">
        <w:rPr>
          <w:iCs/>
          <w:lang w:val="en-GB"/>
        </w:rPr>
        <w:t xml:space="preserve">to share timely </w:t>
      </w:r>
      <w:r w:rsidR="00484971" w:rsidRPr="001D74B9">
        <w:rPr>
          <w:lang w:val="en-GB"/>
        </w:rPr>
        <w:t xml:space="preserve">information </w:t>
      </w:r>
      <w:r w:rsidR="00A2269C" w:rsidRPr="001D74B9">
        <w:rPr>
          <w:iCs/>
          <w:lang w:val="en-GB"/>
        </w:rPr>
        <w:t>with workers' representatives</w:t>
      </w:r>
      <w:r w:rsidR="00484971" w:rsidRPr="001D74B9">
        <w:rPr>
          <w:lang w:val="en-GB"/>
        </w:rPr>
        <w:t xml:space="preserve"> in industrial relations</w:t>
      </w:r>
      <w:r w:rsidR="00CD20DE" w:rsidRPr="001D74B9">
        <w:rPr>
          <w:lang w:val="en-GB"/>
        </w:rPr>
        <w:t xml:space="preserve"> </w:t>
      </w:r>
      <w:r w:rsidR="00CD20DE" w:rsidRPr="001D74B9">
        <w:rPr>
          <w:iCs/>
          <w:lang w:val="en-GB"/>
        </w:rPr>
        <w:t>systems</w:t>
      </w:r>
      <w:r w:rsidR="00484971" w:rsidRPr="001D74B9">
        <w:rPr>
          <w:lang w:val="en-GB"/>
        </w:rPr>
        <w:t>, supports the elaboration of informed management decision</w:t>
      </w:r>
      <w:r w:rsidR="00336F42" w:rsidRPr="001D74B9">
        <w:rPr>
          <w:lang w:val="en-GB"/>
        </w:rPr>
        <w:t>s</w:t>
      </w:r>
      <w:r w:rsidR="00484971" w:rsidRPr="001D74B9">
        <w:rPr>
          <w:lang w:val="en-GB"/>
        </w:rPr>
        <w:t xml:space="preserve"> in certain matters of direct interest to workers with workers' representatives, and contributes to </w:t>
      </w:r>
      <w:r w:rsidR="004A5B6C" w:rsidRPr="001D74B9">
        <w:rPr>
          <w:iCs/>
          <w:lang w:val="en-GB"/>
        </w:rPr>
        <w:t>a sustainable</w:t>
      </w:r>
      <w:r w:rsidR="00484971" w:rsidRPr="001D74B9">
        <w:rPr>
          <w:lang w:val="en-GB"/>
        </w:rPr>
        <w:t xml:space="preserve"> and fairer </w:t>
      </w:r>
      <w:r w:rsidR="00325EE4" w:rsidRPr="001D74B9">
        <w:rPr>
          <w:iCs/>
          <w:lang w:val="en-GB"/>
        </w:rPr>
        <w:t>business model</w:t>
      </w:r>
      <w:r w:rsidR="00484971" w:rsidRPr="001D74B9">
        <w:rPr>
          <w:lang w:val="en-GB"/>
        </w:rPr>
        <w:t xml:space="preserve">. This helps to promote the social economic market idea that considers the European social model to be an engine for the competitiveness of European companies. </w:t>
      </w:r>
    </w:p>
    <w:p w14:paraId="2665F20A" w14:textId="77777777" w:rsidR="00484971" w:rsidRPr="001D74B9" w:rsidRDefault="00484971">
      <w:pPr>
        <w:rPr>
          <w:lang w:val="en-GB"/>
        </w:rPr>
      </w:pPr>
    </w:p>
    <w:p w14:paraId="30032F9E" w14:textId="77777777" w:rsidR="00484971" w:rsidRPr="001D74B9" w:rsidRDefault="00484971" w:rsidP="00CD407F">
      <w:pPr>
        <w:pStyle w:val="Heading2"/>
        <w:rPr>
          <w:lang w:val="en-GB"/>
        </w:rPr>
      </w:pPr>
      <w:r w:rsidRPr="001D74B9">
        <w:rPr>
          <w:lang w:val="en-GB"/>
        </w:rPr>
        <w:t xml:space="preserve">Various pieces of legislation at EU level </w:t>
      </w:r>
      <w:r w:rsidR="00336F42" w:rsidRPr="001D74B9">
        <w:rPr>
          <w:lang w:val="en-GB"/>
        </w:rPr>
        <w:t xml:space="preserve">have </w:t>
      </w:r>
      <w:r w:rsidR="00C04D20" w:rsidRPr="001D74B9">
        <w:rPr>
          <w:lang w:val="en-GB"/>
        </w:rPr>
        <w:t>established minimum requirements</w:t>
      </w:r>
      <w:r w:rsidR="00C04D20" w:rsidRPr="001D74B9">
        <w:rPr>
          <w:rStyle w:val="FootnoteReference"/>
          <w:lang w:val="en-GB"/>
        </w:rPr>
        <w:footnoteReference w:id="45"/>
      </w:r>
      <w:r w:rsidR="00C04D20" w:rsidRPr="001D74B9">
        <w:rPr>
          <w:lang w:val="en-GB"/>
        </w:rPr>
        <w:t xml:space="preserve"> and </w:t>
      </w:r>
      <w:r w:rsidRPr="001D74B9">
        <w:rPr>
          <w:lang w:val="en-GB"/>
        </w:rPr>
        <w:t>define workers</w:t>
      </w:r>
      <w:r w:rsidR="00503681" w:rsidRPr="001D74B9">
        <w:rPr>
          <w:lang w:val="en-GB"/>
        </w:rPr>
        <w:t>'</w:t>
      </w:r>
      <w:r w:rsidRPr="001D74B9">
        <w:rPr>
          <w:lang w:val="en-GB"/>
        </w:rPr>
        <w:t xml:space="preserve"> information, consultation and board-level representation rights including the Directive on information and consultation and the EWCs Directive</w:t>
      </w:r>
      <w:r w:rsidRPr="001D74B9">
        <w:rPr>
          <w:rStyle w:val="FootnoteReference"/>
          <w:iCs/>
          <w:lang w:val="en-GB"/>
        </w:rPr>
        <w:footnoteReference w:id="46"/>
      </w:r>
      <w:r w:rsidRPr="001D74B9">
        <w:rPr>
          <w:lang w:val="en-GB"/>
        </w:rPr>
        <w:t>, as well as legal acts concerning specific forms of enterprises, such as SEs and European Cooperative Societies, or specific situations, such as cross-border mergers, transfer of undertaking, collective redundancies. The EWCs (and SE Works Councils) are bodies for workers</w:t>
      </w:r>
      <w:r w:rsidR="00A90B16" w:rsidRPr="001D74B9">
        <w:rPr>
          <w:lang w:val="en-GB"/>
        </w:rPr>
        <w:t>'</w:t>
      </w:r>
      <w:r w:rsidRPr="001D74B9">
        <w:rPr>
          <w:lang w:val="en-GB"/>
        </w:rPr>
        <w:t xml:space="preserve"> information and consultation on transnational issues and their relevance for the European workforce is significant</w:t>
      </w:r>
      <w:r w:rsidR="008D11A0" w:rsidRPr="001D74B9">
        <w:rPr>
          <w:lang w:val="en-GB"/>
        </w:rPr>
        <w:t>. They play an important role in</w:t>
      </w:r>
      <w:r w:rsidRPr="001D74B9">
        <w:rPr>
          <w:lang w:val="en-GB"/>
        </w:rPr>
        <w:t xml:space="preserve"> the progressive integration of European Member States and the single market</w:t>
      </w:r>
      <w:r w:rsidRPr="001D74B9">
        <w:rPr>
          <w:rStyle w:val="FootnoteReference"/>
          <w:lang w:val="en-GB"/>
        </w:rPr>
        <w:footnoteReference w:id="47"/>
      </w:r>
      <w:r w:rsidRPr="001D74B9">
        <w:rPr>
          <w:lang w:val="en-GB"/>
        </w:rPr>
        <w:t xml:space="preserve">. </w:t>
      </w:r>
      <w:r w:rsidR="002D60F1" w:rsidRPr="001D74B9">
        <w:rPr>
          <w:lang w:val="en-GB"/>
        </w:rPr>
        <w:t xml:space="preserve">There is </w:t>
      </w:r>
      <w:r w:rsidR="00336F42" w:rsidRPr="001D74B9">
        <w:rPr>
          <w:lang w:val="en-GB"/>
        </w:rPr>
        <w:t>room</w:t>
      </w:r>
      <w:r w:rsidR="002D60F1" w:rsidRPr="001D74B9">
        <w:rPr>
          <w:lang w:val="en-GB"/>
        </w:rPr>
        <w:t xml:space="preserve"> for improvement regarding the quality and effectiveness of </w:t>
      </w:r>
      <w:r w:rsidRPr="001D74B9">
        <w:rPr>
          <w:lang w:val="en-GB"/>
        </w:rPr>
        <w:t>information</w:t>
      </w:r>
      <w:r w:rsidR="009D7DB0" w:rsidRPr="001D74B9">
        <w:rPr>
          <w:lang w:val="en-GB"/>
        </w:rPr>
        <w:t xml:space="preserve"> and</w:t>
      </w:r>
      <w:r w:rsidR="00737DA6" w:rsidRPr="001D74B9">
        <w:rPr>
          <w:lang w:val="en-GB"/>
        </w:rPr>
        <w:t xml:space="preserve"> </w:t>
      </w:r>
      <w:r w:rsidRPr="001D74B9">
        <w:rPr>
          <w:lang w:val="en-GB"/>
        </w:rPr>
        <w:t>consultation</w:t>
      </w:r>
      <w:r w:rsidR="005643E9" w:rsidRPr="001D74B9">
        <w:rPr>
          <w:lang w:val="en-GB"/>
        </w:rPr>
        <w:t xml:space="preserve"> of EWCs</w:t>
      </w:r>
      <w:r w:rsidR="00921BD3" w:rsidRPr="001D74B9">
        <w:rPr>
          <w:lang w:val="en-GB"/>
        </w:rPr>
        <w:t xml:space="preserve"> on transnational company restructuring, as the </w:t>
      </w:r>
      <w:r w:rsidR="00336F42" w:rsidRPr="001D74B9">
        <w:rPr>
          <w:lang w:val="en-GB"/>
        </w:rPr>
        <w:t>Co</w:t>
      </w:r>
      <w:r w:rsidR="00517F6A" w:rsidRPr="001D74B9">
        <w:rPr>
          <w:lang w:val="en-GB"/>
        </w:rPr>
        <w:t>mm</w:t>
      </w:r>
      <w:r w:rsidR="00336F42" w:rsidRPr="001D74B9">
        <w:rPr>
          <w:lang w:val="en-GB"/>
        </w:rPr>
        <w:t>ission</w:t>
      </w:r>
      <w:r w:rsidR="00921BD3" w:rsidRPr="001D74B9">
        <w:rPr>
          <w:lang w:val="en-GB"/>
        </w:rPr>
        <w:t xml:space="preserve"> underlined in its report</w:t>
      </w:r>
      <w:r w:rsidRPr="001D74B9">
        <w:rPr>
          <w:rStyle w:val="FootnoteReference"/>
          <w:lang w:val="en-GB"/>
        </w:rPr>
        <w:footnoteReference w:id="48"/>
      </w:r>
      <w:r w:rsidRPr="001D74B9">
        <w:rPr>
          <w:lang w:val="en-GB"/>
        </w:rPr>
        <w:t>.</w:t>
      </w:r>
    </w:p>
    <w:p w14:paraId="5953E5B0" w14:textId="77777777" w:rsidR="00484971" w:rsidRPr="001D74B9" w:rsidRDefault="00484971" w:rsidP="00CD407F">
      <w:pPr>
        <w:rPr>
          <w:lang w:val="en-GB"/>
        </w:rPr>
      </w:pPr>
    </w:p>
    <w:p w14:paraId="029F7007" w14:textId="77777777" w:rsidR="00484971" w:rsidRPr="001D74B9" w:rsidRDefault="00484971" w:rsidP="00CD407F">
      <w:pPr>
        <w:pStyle w:val="Heading2"/>
        <w:rPr>
          <w:lang w:val="en-GB"/>
        </w:rPr>
      </w:pPr>
      <w:r w:rsidRPr="001D74B9">
        <w:rPr>
          <w:lang w:val="en-GB"/>
        </w:rPr>
        <w:t>Workers</w:t>
      </w:r>
      <w:r w:rsidR="008B19BD" w:rsidRPr="001D74B9">
        <w:rPr>
          <w:lang w:val="en-GB"/>
        </w:rPr>
        <w:t>'</w:t>
      </w:r>
      <w:r w:rsidRPr="001D74B9">
        <w:rPr>
          <w:lang w:val="en-GB"/>
        </w:rPr>
        <w:t xml:space="preserve"> board-level </w:t>
      </w:r>
      <w:r w:rsidR="00E562C8" w:rsidRPr="001D74B9">
        <w:rPr>
          <w:lang w:val="en-GB"/>
        </w:rPr>
        <w:t>participation</w:t>
      </w:r>
      <w:r w:rsidRPr="001D74B9">
        <w:rPr>
          <w:lang w:val="en-GB"/>
        </w:rPr>
        <w:t xml:space="preserve"> can be found in the majority of Member States but there are no common grounds at European level and</w:t>
      </w:r>
      <w:r w:rsidR="00A63AB3" w:rsidRPr="001D74B9">
        <w:rPr>
          <w:lang w:val="en-GB"/>
        </w:rPr>
        <w:t xml:space="preserve"> it</w:t>
      </w:r>
      <w:r w:rsidRPr="001D74B9">
        <w:rPr>
          <w:lang w:val="en-GB"/>
        </w:rPr>
        <w:t xml:space="preserve"> is therefore manifested in the different practices specific to national </w:t>
      </w:r>
      <w:r w:rsidR="009561D5" w:rsidRPr="001D74B9">
        <w:rPr>
          <w:lang w:val="en-GB"/>
        </w:rPr>
        <w:t>framework</w:t>
      </w:r>
      <w:r w:rsidR="00336F42" w:rsidRPr="001D74B9">
        <w:rPr>
          <w:lang w:val="en-GB"/>
        </w:rPr>
        <w:t>s</w:t>
      </w:r>
      <w:r w:rsidR="009561D5" w:rsidRPr="001D74B9">
        <w:rPr>
          <w:lang w:val="en-GB"/>
        </w:rPr>
        <w:t xml:space="preserve">. </w:t>
      </w:r>
      <w:r w:rsidR="00336F42" w:rsidRPr="001D74B9">
        <w:rPr>
          <w:lang w:val="en-GB"/>
        </w:rPr>
        <w:t>In its opinion SOC/470</w:t>
      </w:r>
      <w:r w:rsidR="00336F42" w:rsidRPr="001D74B9">
        <w:rPr>
          <w:rStyle w:val="FootnoteReference"/>
          <w:lang w:val="en-GB"/>
        </w:rPr>
        <w:footnoteReference w:id="49"/>
      </w:r>
      <w:r w:rsidR="00336F42" w:rsidRPr="001D74B9">
        <w:rPr>
          <w:lang w:val="en-GB"/>
        </w:rPr>
        <w:t>, t</w:t>
      </w:r>
      <w:r w:rsidR="009561D5" w:rsidRPr="001D74B9">
        <w:rPr>
          <w:lang w:val="en-GB"/>
        </w:rPr>
        <w:t>he EESC has alrea</w:t>
      </w:r>
      <w:r w:rsidR="002F1259" w:rsidRPr="001D74B9">
        <w:rPr>
          <w:lang w:val="en-GB"/>
        </w:rPr>
        <w:t xml:space="preserve">dy called </w:t>
      </w:r>
      <w:r w:rsidR="009561D5" w:rsidRPr="001D74B9">
        <w:rPr>
          <w:lang w:val="en-GB"/>
        </w:rPr>
        <w:t xml:space="preserve">for a harmonised </w:t>
      </w:r>
      <w:r w:rsidR="00336F42" w:rsidRPr="001D74B9">
        <w:rPr>
          <w:lang w:val="en-GB"/>
        </w:rPr>
        <w:t xml:space="preserve">EU-level </w:t>
      </w:r>
      <w:r w:rsidR="009561D5" w:rsidRPr="001D74B9">
        <w:rPr>
          <w:lang w:val="en-GB"/>
        </w:rPr>
        <w:t xml:space="preserve">framework </w:t>
      </w:r>
      <w:r w:rsidR="00336F42" w:rsidRPr="001D74B9">
        <w:rPr>
          <w:lang w:val="en-GB"/>
        </w:rPr>
        <w:t>for</w:t>
      </w:r>
      <w:r w:rsidR="009561D5" w:rsidRPr="001D74B9">
        <w:rPr>
          <w:lang w:val="en-GB"/>
        </w:rPr>
        <w:t xml:space="preserve"> workers' board</w:t>
      </w:r>
      <w:r w:rsidR="00336F42" w:rsidRPr="001D74B9">
        <w:rPr>
          <w:lang w:val="en-GB"/>
        </w:rPr>
        <w:t>-</w:t>
      </w:r>
      <w:r w:rsidR="009561D5" w:rsidRPr="001D74B9">
        <w:rPr>
          <w:lang w:val="en-GB"/>
        </w:rPr>
        <w:t xml:space="preserve">level participation. Unfortunately, the </w:t>
      </w:r>
      <w:r w:rsidR="00336F42" w:rsidRPr="001D74B9">
        <w:rPr>
          <w:lang w:val="en-GB"/>
        </w:rPr>
        <w:t xml:space="preserve">2019 </w:t>
      </w:r>
      <w:r w:rsidR="009561D5" w:rsidRPr="001D74B9">
        <w:rPr>
          <w:lang w:val="en-GB"/>
        </w:rPr>
        <w:t xml:space="preserve">Company Law Package </w:t>
      </w:r>
      <w:r w:rsidR="00336F42" w:rsidRPr="001D74B9">
        <w:rPr>
          <w:lang w:val="en-GB"/>
        </w:rPr>
        <w:t xml:space="preserve">that has been approved </w:t>
      </w:r>
      <w:r w:rsidR="00C94B9C" w:rsidRPr="001D74B9">
        <w:rPr>
          <w:lang w:val="en-GB"/>
        </w:rPr>
        <w:t xml:space="preserve">does not reflect this proposal. </w:t>
      </w:r>
    </w:p>
    <w:p w14:paraId="4B8E4278" w14:textId="77777777" w:rsidR="000571CE" w:rsidRPr="001D74B9" w:rsidRDefault="000571CE">
      <w:pPr>
        <w:rPr>
          <w:lang w:val="en-GB"/>
        </w:rPr>
      </w:pPr>
    </w:p>
    <w:p w14:paraId="2B98CEAF" w14:textId="77777777" w:rsidR="00484971" w:rsidRPr="001D74B9" w:rsidRDefault="00484971">
      <w:pPr>
        <w:pStyle w:val="Heading2"/>
        <w:rPr>
          <w:lang w:val="en-GB"/>
        </w:rPr>
      </w:pPr>
      <w:r w:rsidRPr="001D74B9">
        <w:rPr>
          <w:lang w:val="en-GB"/>
        </w:rPr>
        <w:t>The European Pillar of Social Rights under Principle 8, defines that workers and their representatives have a right to be informed and consulted in good time concerning matters relevant to them.</w:t>
      </w:r>
      <w:r w:rsidR="00D0249E" w:rsidRPr="001D74B9">
        <w:rPr>
          <w:lang w:val="en-GB"/>
        </w:rPr>
        <w:t xml:space="preserve"> </w:t>
      </w:r>
      <w:r w:rsidRPr="001D74B9">
        <w:rPr>
          <w:lang w:val="en-GB"/>
        </w:rPr>
        <w:t>From th</w:t>
      </w:r>
      <w:r w:rsidR="00D85EF0" w:rsidRPr="001D74B9">
        <w:rPr>
          <w:lang w:val="en-GB"/>
        </w:rPr>
        <w:t>is</w:t>
      </w:r>
      <w:r w:rsidRPr="001D74B9">
        <w:rPr>
          <w:lang w:val="en-GB"/>
        </w:rPr>
        <w:t xml:space="preserve"> perspective,</w:t>
      </w:r>
      <w:r w:rsidR="00503681" w:rsidRPr="001D74B9">
        <w:rPr>
          <w:lang w:val="en-GB"/>
        </w:rPr>
        <w:t xml:space="preserve"> </w:t>
      </w:r>
      <w:r w:rsidRPr="001D74B9">
        <w:rPr>
          <w:lang w:val="en-GB"/>
        </w:rPr>
        <w:t>workers</w:t>
      </w:r>
      <w:r w:rsidR="00503681" w:rsidRPr="001D74B9">
        <w:rPr>
          <w:lang w:val="en-GB"/>
        </w:rPr>
        <w:t>'</w:t>
      </w:r>
      <w:r w:rsidRPr="001D74B9">
        <w:rPr>
          <w:lang w:val="en-GB"/>
        </w:rPr>
        <w:t xml:space="preserve"> involvement is strategic to manage the transitions to deal with ecological, demographic and technological challenges and accompany changes in work organisation or restructuring</w:t>
      </w:r>
      <w:r w:rsidRPr="001D74B9">
        <w:rPr>
          <w:rStyle w:val="FootnoteReference"/>
          <w:lang w:val="en-GB"/>
        </w:rPr>
        <w:footnoteReference w:id="50"/>
      </w:r>
      <w:r w:rsidRPr="001D74B9">
        <w:rPr>
          <w:lang w:val="en-GB"/>
        </w:rPr>
        <w:t>. The EESC calls on European and national institutions to take action to ensure that workers</w:t>
      </w:r>
      <w:r w:rsidR="00A90B16" w:rsidRPr="001D74B9">
        <w:rPr>
          <w:lang w:val="en-GB"/>
        </w:rPr>
        <w:t>'</w:t>
      </w:r>
      <w:r w:rsidRPr="001D74B9">
        <w:rPr>
          <w:lang w:val="en-GB"/>
        </w:rPr>
        <w:t xml:space="preserve"> information, consultation and participation rights are respected in restructuring processes</w:t>
      </w:r>
      <w:r w:rsidR="00122B5D" w:rsidRPr="001D74B9">
        <w:rPr>
          <w:lang w:val="en-GB"/>
        </w:rPr>
        <w:t>.</w:t>
      </w:r>
    </w:p>
    <w:p w14:paraId="02053B20" w14:textId="77777777" w:rsidR="00D95DC3" w:rsidRPr="001D74B9" w:rsidRDefault="00D95DC3" w:rsidP="001A1F0B">
      <w:pPr>
        <w:rPr>
          <w:lang w:val="en-GB"/>
        </w:rPr>
      </w:pPr>
    </w:p>
    <w:p w14:paraId="1DB9DEBE" w14:textId="77777777" w:rsidR="00D95DC3" w:rsidRPr="001D74B9" w:rsidRDefault="00D95DC3" w:rsidP="00AC6522">
      <w:pPr>
        <w:pStyle w:val="Heading2"/>
        <w:rPr>
          <w:lang w:val="en-GB"/>
        </w:rPr>
      </w:pPr>
      <w:r w:rsidRPr="001D74B9">
        <w:rPr>
          <w:lang w:val="en-GB"/>
        </w:rPr>
        <w:t>European legislative measures in the field of workers' health and safety highlight and include the necessary role of workers</w:t>
      </w:r>
      <w:r w:rsidR="00FD33EB" w:rsidRPr="001D74B9">
        <w:rPr>
          <w:lang w:val="en-GB"/>
        </w:rPr>
        <w:t>'</w:t>
      </w:r>
      <w:r w:rsidRPr="001D74B9">
        <w:rPr>
          <w:lang w:val="en-GB"/>
        </w:rPr>
        <w:t xml:space="preserve"> representation in this area as well.</w:t>
      </w:r>
      <w:r w:rsidR="007D5368" w:rsidRPr="001D74B9">
        <w:rPr>
          <w:lang w:val="en-GB"/>
        </w:rPr>
        <w:t xml:space="preserve"> </w:t>
      </w:r>
      <w:r w:rsidR="00D766DB" w:rsidRPr="001D74B9">
        <w:rPr>
          <w:lang w:val="en-GB"/>
        </w:rPr>
        <w:t>Tripartite and bi-partite agreements in some European countries to contain the spread of the C</w:t>
      </w:r>
      <w:r w:rsidR="002C4C35" w:rsidRPr="001D74B9">
        <w:rPr>
          <w:lang w:val="en-GB"/>
        </w:rPr>
        <w:t>OVID</w:t>
      </w:r>
      <w:r w:rsidR="00D766DB" w:rsidRPr="001D74B9">
        <w:rPr>
          <w:lang w:val="en-GB"/>
        </w:rPr>
        <w:t>-19 at enterprise level have been pro-active examples of joint initiatives of social partners as far as OSH is concerned.</w:t>
      </w:r>
    </w:p>
    <w:p w14:paraId="7EA2E7A1" w14:textId="77777777" w:rsidR="00484971" w:rsidRPr="001D74B9" w:rsidRDefault="00484971">
      <w:pPr>
        <w:pStyle w:val="Heading2"/>
        <w:numPr>
          <w:ilvl w:val="0"/>
          <w:numId w:val="0"/>
        </w:numPr>
        <w:rPr>
          <w:lang w:val="en-GB"/>
        </w:rPr>
      </w:pPr>
    </w:p>
    <w:p w14:paraId="4A9CFCB4" w14:textId="77777777" w:rsidR="000571CE" w:rsidRPr="001D74B9" w:rsidRDefault="00484971" w:rsidP="00CD407F">
      <w:pPr>
        <w:pStyle w:val="Heading2"/>
        <w:rPr>
          <w:lang w:val="en-GB"/>
        </w:rPr>
      </w:pPr>
      <w:r w:rsidRPr="001D74B9">
        <w:rPr>
          <w:lang w:val="en-GB"/>
        </w:rPr>
        <w:t>The C</w:t>
      </w:r>
      <w:r w:rsidR="002C4C35" w:rsidRPr="001D74B9">
        <w:rPr>
          <w:lang w:val="en-GB"/>
        </w:rPr>
        <w:t>OVID</w:t>
      </w:r>
      <w:r w:rsidRPr="001D74B9">
        <w:rPr>
          <w:lang w:val="en-GB"/>
        </w:rPr>
        <w:t>-19 crisis shows on one hand the positive examples around Europe of constructive social dialogue at enterprise level to maintain jobs, ensure safety return to the workplace while continuing the business activity</w:t>
      </w:r>
      <w:r w:rsidR="00890D78" w:rsidRPr="001D74B9">
        <w:rPr>
          <w:lang w:val="en-GB"/>
        </w:rPr>
        <w:t>.</w:t>
      </w:r>
      <w:r w:rsidR="00E11612" w:rsidRPr="001D74B9">
        <w:rPr>
          <w:lang w:val="en-GB"/>
        </w:rPr>
        <w:t xml:space="preserve"> </w:t>
      </w:r>
      <w:r w:rsidR="00890D78" w:rsidRPr="001D74B9">
        <w:rPr>
          <w:lang w:val="en-GB"/>
        </w:rPr>
        <w:t>O</w:t>
      </w:r>
      <w:r w:rsidRPr="001D74B9">
        <w:rPr>
          <w:lang w:val="en-GB"/>
        </w:rPr>
        <w:t>n the other</w:t>
      </w:r>
      <w:r w:rsidR="003D08C3" w:rsidRPr="001D74B9">
        <w:rPr>
          <w:lang w:val="en-GB"/>
        </w:rPr>
        <w:t xml:space="preserve"> hand</w:t>
      </w:r>
      <w:r w:rsidRPr="001D74B9">
        <w:rPr>
          <w:lang w:val="en-GB"/>
        </w:rPr>
        <w:t xml:space="preserve">, information and consultation rights have not been respected everywhere in Europe, even in the emergency phase, including in restructuring and with regard to the measures to be taken to protect occupational safety and health </w:t>
      </w:r>
      <w:r w:rsidR="00C03488" w:rsidRPr="001D74B9">
        <w:rPr>
          <w:lang w:val="en-GB"/>
        </w:rPr>
        <w:t>and avoid</w:t>
      </w:r>
      <w:r w:rsidRPr="001D74B9">
        <w:rPr>
          <w:lang w:val="en-GB"/>
        </w:rPr>
        <w:t xml:space="preserve"> risky working conditions. Actions at European and national level are necessary to ensure the respect of information and consultation rights in restructuring processes resulting from C</w:t>
      </w:r>
      <w:r w:rsidR="009778FC" w:rsidRPr="001D74B9">
        <w:rPr>
          <w:lang w:val="en-GB"/>
        </w:rPr>
        <w:t>OVID</w:t>
      </w:r>
      <w:r w:rsidRPr="001D74B9">
        <w:rPr>
          <w:lang w:val="en-GB"/>
        </w:rPr>
        <w:t>-19 crisis</w:t>
      </w:r>
      <w:r w:rsidR="00122B5D" w:rsidRPr="001D74B9">
        <w:rPr>
          <w:lang w:val="en-GB"/>
        </w:rPr>
        <w:t>.</w:t>
      </w:r>
      <w:r w:rsidRPr="001D74B9">
        <w:rPr>
          <w:lang w:val="en-GB"/>
        </w:rPr>
        <w:t xml:space="preserve"> </w:t>
      </w:r>
    </w:p>
    <w:p w14:paraId="039770EB" w14:textId="77777777" w:rsidR="000571CE" w:rsidRPr="001D74B9" w:rsidRDefault="000571CE" w:rsidP="00CD407F">
      <w:pPr>
        <w:pStyle w:val="Default"/>
        <w:spacing w:line="288" w:lineRule="auto"/>
        <w:ind w:left="567" w:hanging="567"/>
        <w:jc w:val="both"/>
        <w:rPr>
          <w:color w:val="auto"/>
          <w:lang w:val="en-GB"/>
        </w:rPr>
      </w:pPr>
    </w:p>
    <w:p w14:paraId="63D38D95" w14:textId="77777777" w:rsidR="00484971" w:rsidRPr="001D74B9" w:rsidRDefault="00484971" w:rsidP="001A1F0B">
      <w:pPr>
        <w:pStyle w:val="Heading2"/>
        <w:rPr>
          <w:lang w:val="en-GB"/>
        </w:rPr>
      </w:pPr>
      <w:r w:rsidRPr="001D74B9">
        <w:rPr>
          <w:lang w:val="en-GB"/>
        </w:rPr>
        <w:t xml:space="preserve">Further </w:t>
      </w:r>
      <w:r w:rsidR="00B55FD6" w:rsidRPr="001D74B9">
        <w:rPr>
          <w:lang w:val="en-GB"/>
        </w:rPr>
        <w:t>steps</w:t>
      </w:r>
      <w:r w:rsidRPr="001D74B9">
        <w:rPr>
          <w:lang w:val="en-GB"/>
        </w:rPr>
        <w:t xml:space="preserve"> at European level to fill gaps and to strengthen democracy at work are needed. The aim is to secure adequate minimum protections and rights with regard to workers</w:t>
      </w:r>
      <w:r w:rsidR="00A90B16" w:rsidRPr="001D74B9">
        <w:rPr>
          <w:lang w:val="en-GB"/>
        </w:rPr>
        <w:t>'</w:t>
      </w:r>
      <w:r w:rsidRPr="001D74B9">
        <w:rPr>
          <w:lang w:val="en-GB"/>
        </w:rPr>
        <w:t xml:space="preserve"> information, consultation and board-level representation in cross-border situations where the national laws cannot be applied in a coordinated and equitable way</w:t>
      </w:r>
      <w:r w:rsidR="005F3966" w:rsidRPr="001D74B9">
        <w:rPr>
          <w:lang w:val="en-GB"/>
        </w:rPr>
        <w:t>.</w:t>
      </w:r>
      <w:r w:rsidR="006A5716" w:rsidRPr="001D74B9">
        <w:rPr>
          <w:iCs/>
          <w:lang w:val="en-GB"/>
        </w:rPr>
        <w:t xml:space="preserve"> An effective</w:t>
      </w:r>
      <w:r w:rsidR="00AB0BF9" w:rsidRPr="001D74B9">
        <w:rPr>
          <w:iCs/>
          <w:lang w:val="en-GB"/>
        </w:rPr>
        <w:t xml:space="preserve"> </w:t>
      </w:r>
      <w:r w:rsidR="002C4C35" w:rsidRPr="001D74B9">
        <w:rPr>
          <w:iCs/>
          <w:lang w:val="en-GB"/>
        </w:rPr>
        <w:t>crosscutting</w:t>
      </w:r>
      <w:r w:rsidR="00AB0BF9" w:rsidRPr="001D74B9">
        <w:rPr>
          <w:iCs/>
          <w:lang w:val="en-GB"/>
        </w:rPr>
        <w:t xml:space="preserve"> framework for information, consultation and bo</w:t>
      </w:r>
      <w:r w:rsidR="006A5716" w:rsidRPr="001D74B9">
        <w:rPr>
          <w:iCs/>
          <w:lang w:val="en-GB"/>
        </w:rPr>
        <w:t>a</w:t>
      </w:r>
      <w:r w:rsidR="00AB0BF9" w:rsidRPr="001D74B9">
        <w:rPr>
          <w:iCs/>
          <w:lang w:val="en-GB"/>
        </w:rPr>
        <w:t xml:space="preserve">rd-level representation rights in </w:t>
      </w:r>
      <w:r w:rsidR="000A409F" w:rsidRPr="001D74B9">
        <w:rPr>
          <w:iCs/>
          <w:lang w:val="en-GB"/>
        </w:rPr>
        <w:t>EU company forms and those</w:t>
      </w:r>
      <w:r w:rsidR="00AB0BF9" w:rsidRPr="001D74B9">
        <w:rPr>
          <w:iCs/>
          <w:lang w:val="en-GB"/>
        </w:rPr>
        <w:t xml:space="preserve"> that make use of the company mobility instruments is needed</w:t>
      </w:r>
      <w:r w:rsidR="00AB0BF9" w:rsidRPr="001D74B9">
        <w:rPr>
          <w:lang w:val="en-GB"/>
        </w:rPr>
        <w:t xml:space="preserve">. Gaps in access to information regarding business activities in </w:t>
      </w:r>
      <w:r w:rsidR="00E67B7E" w:rsidRPr="001D74B9">
        <w:rPr>
          <w:lang w:val="en-GB"/>
        </w:rPr>
        <w:t>non-EU</w:t>
      </w:r>
      <w:r w:rsidR="00AB0BF9" w:rsidRPr="001D74B9">
        <w:rPr>
          <w:lang w:val="en-GB"/>
        </w:rPr>
        <w:t xml:space="preserve"> countries and their impact on jobs and working conditions have to be assessed in order to ensure the proper role of the EWC. In the implementation of the EWC Directive, enforcement measures should be strengthen</w:t>
      </w:r>
      <w:r w:rsidR="00E67B7E" w:rsidRPr="001D74B9">
        <w:rPr>
          <w:lang w:val="en-GB"/>
        </w:rPr>
        <w:t>ed</w:t>
      </w:r>
      <w:r w:rsidR="00AB0BF9" w:rsidRPr="001D74B9">
        <w:rPr>
          <w:lang w:val="en-GB"/>
        </w:rPr>
        <w:t>, together with effective and proportionate sanctions, where shortcomings have been identified.</w:t>
      </w:r>
    </w:p>
    <w:p w14:paraId="45EB7F65" w14:textId="77777777" w:rsidR="00484971" w:rsidRPr="001D74B9" w:rsidRDefault="00484971" w:rsidP="00CD407F">
      <w:pPr>
        <w:rPr>
          <w:lang w:val="en-GB"/>
        </w:rPr>
      </w:pPr>
    </w:p>
    <w:p w14:paraId="76831F9A" w14:textId="77777777" w:rsidR="00BE346E" w:rsidRPr="001D74B9" w:rsidRDefault="00484971">
      <w:pPr>
        <w:pStyle w:val="Heading2"/>
        <w:rPr>
          <w:lang w:val="en-GB"/>
        </w:rPr>
      </w:pPr>
      <w:r w:rsidRPr="001D74B9">
        <w:rPr>
          <w:lang w:val="en-GB"/>
        </w:rPr>
        <w:t>It is also necessary to ensure full respect of the information and consultation rights for public sector workers</w:t>
      </w:r>
      <w:r w:rsidR="004C3E00" w:rsidRPr="001D74B9">
        <w:rPr>
          <w:lang w:val="en-GB"/>
        </w:rPr>
        <w:t>.</w:t>
      </w:r>
      <w:r w:rsidRPr="001D74B9">
        <w:rPr>
          <w:lang w:val="en-GB"/>
        </w:rPr>
        <w:t xml:space="preserve"> </w:t>
      </w:r>
      <w:r w:rsidR="003243E2" w:rsidRPr="001D74B9">
        <w:rPr>
          <w:lang w:val="en-GB"/>
        </w:rPr>
        <w:t xml:space="preserve">The EESC </w:t>
      </w:r>
      <w:r w:rsidR="00E67B7E" w:rsidRPr="001D74B9">
        <w:rPr>
          <w:lang w:val="en-GB"/>
        </w:rPr>
        <w:t>calls on</w:t>
      </w:r>
      <w:r w:rsidR="003243E2" w:rsidRPr="001D74B9">
        <w:rPr>
          <w:lang w:val="en-GB"/>
        </w:rPr>
        <w:t xml:space="preserve"> </w:t>
      </w:r>
      <w:r w:rsidR="00D44B4B" w:rsidRPr="001D74B9">
        <w:rPr>
          <w:iCs/>
          <w:lang w:val="en-GB"/>
        </w:rPr>
        <w:t xml:space="preserve">the Commission to take action to </w:t>
      </w:r>
      <w:r w:rsidR="00E67B7E" w:rsidRPr="001D74B9">
        <w:rPr>
          <w:iCs/>
          <w:lang w:val="en-GB"/>
        </w:rPr>
        <w:t>ensure that</w:t>
      </w:r>
      <w:r w:rsidR="00D44B4B" w:rsidRPr="001D74B9">
        <w:rPr>
          <w:lang w:val="en-GB"/>
        </w:rPr>
        <w:t xml:space="preserve"> </w:t>
      </w:r>
      <w:r w:rsidRPr="001D74B9">
        <w:rPr>
          <w:lang w:val="en-GB"/>
        </w:rPr>
        <w:t>the European. Social Partners</w:t>
      </w:r>
      <w:r w:rsidR="00A90B16" w:rsidRPr="001D74B9">
        <w:rPr>
          <w:lang w:val="en-GB"/>
        </w:rPr>
        <w:t>'</w:t>
      </w:r>
      <w:r w:rsidRPr="001D74B9">
        <w:rPr>
          <w:lang w:val="en-GB"/>
        </w:rPr>
        <w:t xml:space="preserve"> agreement on this matter</w:t>
      </w:r>
      <w:r w:rsidR="00E67B7E" w:rsidRPr="001D74B9">
        <w:rPr>
          <w:lang w:val="en-GB"/>
        </w:rPr>
        <w:t xml:space="preserve"> is properly implemented</w:t>
      </w:r>
      <w:r w:rsidRPr="001D74B9">
        <w:rPr>
          <w:lang w:val="en-GB"/>
        </w:rPr>
        <w:t>.</w:t>
      </w:r>
      <w:r w:rsidR="002A3169" w:rsidRPr="001D74B9">
        <w:rPr>
          <w:lang w:val="en-GB"/>
        </w:rPr>
        <w:t xml:space="preserve"> </w:t>
      </w:r>
    </w:p>
    <w:p w14:paraId="1F6055F3" w14:textId="77777777" w:rsidR="00BE346E" w:rsidRPr="001D74B9" w:rsidRDefault="00BE346E" w:rsidP="001A1F0B">
      <w:pPr>
        <w:rPr>
          <w:rFonts w:eastAsiaTheme="minorHAnsi"/>
          <w:lang w:val="en-GB"/>
        </w:rPr>
      </w:pPr>
    </w:p>
    <w:p w14:paraId="4DCE209F" w14:textId="77777777" w:rsidR="00AC0C54" w:rsidRPr="001D74B9" w:rsidRDefault="00484971">
      <w:pPr>
        <w:pStyle w:val="Heading2"/>
        <w:rPr>
          <w:b/>
          <w:bCs/>
          <w:lang w:val="en-GB"/>
        </w:rPr>
      </w:pPr>
      <w:r w:rsidRPr="001D74B9">
        <w:rPr>
          <w:lang w:val="en-GB"/>
        </w:rPr>
        <w:t>National practices show differences in workers' involvement</w:t>
      </w:r>
      <w:r w:rsidR="005856DF" w:rsidRPr="001D74B9">
        <w:rPr>
          <w:lang w:val="en-GB"/>
        </w:rPr>
        <w:t>. I</w:t>
      </w:r>
      <w:r w:rsidRPr="001D74B9">
        <w:rPr>
          <w:lang w:val="en-GB"/>
        </w:rPr>
        <w:t>n particular</w:t>
      </w:r>
      <w:r w:rsidR="004279E3" w:rsidRPr="001D74B9">
        <w:rPr>
          <w:lang w:val="en-GB"/>
        </w:rPr>
        <w:t xml:space="preserve">, </w:t>
      </w:r>
      <w:r w:rsidR="005063D2" w:rsidRPr="001D74B9">
        <w:rPr>
          <w:lang w:val="en-GB"/>
        </w:rPr>
        <w:t>i</w:t>
      </w:r>
      <w:r w:rsidRPr="001D74B9">
        <w:rPr>
          <w:lang w:val="en-GB"/>
        </w:rPr>
        <w:t>t has to be ensured that workers</w:t>
      </w:r>
      <w:r w:rsidR="00A90B16" w:rsidRPr="001D74B9">
        <w:rPr>
          <w:lang w:val="en-GB"/>
        </w:rPr>
        <w:t>'</w:t>
      </w:r>
      <w:r w:rsidRPr="001D74B9">
        <w:rPr>
          <w:lang w:val="en-GB"/>
        </w:rPr>
        <w:t xml:space="preserve"> representatives appointed in line with European and national rules</w:t>
      </w:r>
      <w:r w:rsidRPr="001D74B9">
        <w:rPr>
          <w:rStyle w:val="FootnoteReference"/>
          <w:lang w:val="en-GB"/>
        </w:rPr>
        <w:footnoteReference w:id="51"/>
      </w:r>
      <w:r w:rsidRPr="001D74B9">
        <w:rPr>
          <w:lang w:val="en-GB"/>
        </w:rPr>
        <w:t xml:space="preserve"> to the administrative and supervisory bodies</w:t>
      </w:r>
      <w:r w:rsidR="00705FB2" w:rsidRPr="001D74B9">
        <w:rPr>
          <w:i/>
          <w:lang w:val="en-GB"/>
        </w:rPr>
        <w:t xml:space="preserve"> </w:t>
      </w:r>
      <w:r w:rsidR="00705FB2" w:rsidRPr="001D74B9">
        <w:rPr>
          <w:iCs/>
          <w:lang w:val="en-GB"/>
        </w:rPr>
        <w:t xml:space="preserve">can properly carry out their duties </w:t>
      </w:r>
      <w:r w:rsidR="002D0507" w:rsidRPr="001D74B9">
        <w:rPr>
          <w:iCs/>
          <w:lang w:val="en-GB"/>
        </w:rPr>
        <w:t>provided by national and European legislation</w:t>
      </w:r>
      <w:r w:rsidR="00A02AEA" w:rsidRPr="001D74B9">
        <w:rPr>
          <w:iCs/>
          <w:lang w:val="en-GB"/>
        </w:rPr>
        <w:t>.</w:t>
      </w:r>
      <w:r w:rsidR="002D0507" w:rsidRPr="001D74B9">
        <w:rPr>
          <w:lang w:val="en-GB"/>
        </w:rPr>
        <w:t xml:space="preserve"> </w:t>
      </w:r>
      <w:r w:rsidRPr="001D74B9">
        <w:rPr>
          <w:lang w:val="en-GB"/>
        </w:rPr>
        <w:t xml:space="preserve">It is also necessary to </w:t>
      </w:r>
      <w:r w:rsidR="00D34C38" w:rsidRPr="001D74B9">
        <w:rPr>
          <w:iCs/>
          <w:lang w:val="en-GB"/>
        </w:rPr>
        <w:t>guarantee</w:t>
      </w:r>
      <w:r w:rsidRPr="001D74B9">
        <w:rPr>
          <w:lang w:val="en-GB"/>
        </w:rPr>
        <w:t xml:space="preserve"> that workers are informed and consulted</w:t>
      </w:r>
      <w:r w:rsidR="009A718E" w:rsidRPr="001D74B9">
        <w:rPr>
          <w:lang w:val="en-GB"/>
        </w:rPr>
        <w:t xml:space="preserve"> adequately and in a timely manner</w:t>
      </w:r>
      <w:r w:rsidRPr="001D74B9">
        <w:rPr>
          <w:lang w:val="en-GB"/>
        </w:rPr>
        <w:t xml:space="preserve"> about </w:t>
      </w:r>
      <w:r w:rsidR="00633E03" w:rsidRPr="001D74B9">
        <w:rPr>
          <w:lang w:val="en-GB"/>
        </w:rPr>
        <w:t xml:space="preserve">a </w:t>
      </w:r>
      <w:r w:rsidRPr="001D74B9">
        <w:rPr>
          <w:lang w:val="en-GB"/>
        </w:rPr>
        <w:t>company</w:t>
      </w:r>
      <w:r w:rsidR="00A90B16" w:rsidRPr="001D74B9">
        <w:rPr>
          <w:lang w:val="en-GB"/>
        </w:rPr>
        <w:t>'</w:t>
      </w:r>
      <w:r w:rsidRPr="001D74B9">
        <w:rPr>
          <w:lang w:val="en-GB"/>
        </w:rPr>
        <w:t xml:space="preserve">s plans and </w:t>
      </w:r>
      <w:r w:rsidR="00633E03" w:rsidRPr="001D74B9">
        <w:rPr>
          <w:lang w:val="en-GB"/>
        </w:rPr>
        <w:t xml:space="preserve">the </w:t>
      </w:r>
      <w:r w:rsidRPr="001D74B9">
        <w:rPr>
          <w:lang w:val="en-GB"/>
        </w:rPr>
        <w:t>potential implications for employment and working conditions</w:t>
      </w:r>
      <w:r w:rsidR="00F11BFB" w:rsidRPr="001D74B9">
        <w:rPr>
          <w:lang w:val="en-GB"/>
        </w:rPr>
        <w:t>, according to the Directive</w:t>
      </w:r>
      <w:r w:rsidRPr="001D74B9">
        <w:rPr>
          <w:lang w:val="en-GB"/>
        </w:rPr>
        <w:t>.</w:t>
      </w:r>
    </w:p>
    <w:p w14:paraId="0CF805FE" w14:textId="77777777" w:rsidR="00AC0C54" w:rsidRPr="001D74B9" w:rsidRDefault="00AC0C54" w:rsidP="00CD407F">
      <w:pPr>
        <w:pStyle w:val="Heading2"/>
        <w:numPr>
          <w:ilvl w:val="0"/>
          <w:numId w:val="0"/>
        </w:numPr>
        <w:rPr>
          <w:lang w:val="en-GB"/>
        </w:rPr>
      </w:pPr>
    </w:p>
    <w:p w14:paraId="220A9919" w14:textId="77777777" w:rsidR="00D743D9" w:rsidRPr="001D74B9" w:rsidRDefault="00AC0C54" w:rsidP="001A1F0B">
      <w:pPr>
        <w:pStyle w:val="Heading1"/>
        <w:keepNext/>
        <w:keepLines/>
        <w:overflowPunct w:val="0"/>
        <w:autoSpaceDE w:val="0"/>
        <w:autoSpaceDN w:val="0"/>
        <w:adjustRightInd w:val="0"/>
        <w:textAlignment w:val="baseline"/>
        <w:rPr>
          <w:lang w:val="en-GB"/>
        </w:rPr>
      </w:pPr>
      <w:r w:rsidRPr="001D74B9">
        <w:rPr>
          <w:b/>
          <w:lang w:val="en-GB"/>
        </w:rPr>
        <w:t xml:space="preserve">Social dialogue for a sustainable and inclusive </w:t>
      </w:r>
      <w:r w:rsidR="004B5BBB" w:rsidRPr="001D74B9">
        <w:rPr>
          <w:b/>
          <w:lang w:val="en-GB"/>
        </w:rPr>
        <w:t xml:space="preserve">post COVID-19 </w:t>
      </w:r>
      <w:r w:rsidRPr="001D74B9">
        <w:rPr>
          <w:b/>
          <w:lang w:val="en-GB"/>
        </w:rPr>
        <w:t>recovery</w:t>
      </w:r>
    </w:p>
    <w:p w14:paraId="0BA013ED" w14:textId="77777777" w:rsidR="00AE4F65" w:rsidRPr="001D74B9" w:rsidRDefault="00AE4F65" w:rsidP="001A1F0B">
      <w:pPr>
        <w:pStyle w:val="Heading2"/>
        <w:keepLines/>
        <w:numPr>
          <w:ilvl w:val="0"/>
          <w:numId w:val="0"/>
        </w:numPr>
        <w:overflowPunct w:val="0"/>
        <w:autoSpaceDE w:val="0"/>
        <w:autoSpaceDN w:val="0"/>
        <w:adjustRightInd w:val="0"/>
        <w:textAlignment w:val="baseline"/>
        <w:rPr>
          <w:lang w:val="en-GB"/>
        </w:rPr>
      </w:pPr>
    </w:p>
    <w:p w14:paraId="17291549" w14:textId="77777777" w:rsidR="00DA6D85" w:rsidRPr="001D74B9" w:rsidRDefault="00AC0C54">
      <w:pPr>
        <w:pStyle w:val="Heading2"/>
        <w:rPr>
          <w:lang w:val="en-GB"/>
        </w:rPr>
      </w:pPr>
      <w:r w:rsidRPr="001D74B9">
        <w:rPr>
          <w:lang w:val="en-GB"/>
        </w:rPr>
        <w:t>Many organisations</w:t>
      </w:r>
      <w:r w:rsidR="008A21D4" w:rsidRPr="001D74B9">
        <w:rPr>
          <w:lang w:val="en-GB"/>
        </w:rPr>
        <w:t xml:space="preserve"> and Instituti</w:t>
      </w:r>
      <w:r w:rsidR="000818FC" w:rsidRPr="001D74B9">
        <w:rPr>
          <w:lang w:val="en-GB"/>
        </w:rPr>
        <w:t>ons</w:t>
      </w:r>
      <w:r w:rsidR="00AF4787" w:rsidRPr="001D74B9">
        <w:rPr>
          <w:lang w:val="en-GB"/>
        </w:rPr>
        <w:t xml:space="preserve">, </w:t>
      </w:r>
      <w:r w:rsidR="006969D2" w:rsidRPr="001D74B9">
        <w:rPr>
          <w:lang w:val="en-GB"/>
        </w:rPr>
        <w:t>including</w:t>
      </w:r>
      <w:r w:rsidR="00AF4787" w:rsidRPr="001D74B9">
        <w:rPr>
          <w:lang w:val="en-GB"/>
        </w:rPr>
        <w:t xml:space="preserve"> the ILO, OECD, European Commission, Eurofound</w:t>
      </w:r>
      <w:r w:rsidR="00864FA8" w:rsidRPr="001D74B9">
        <w:rPr>
          <w:lang w:val="en-GB"/>
        </w:rPr>
        <w:t>,</w:t>
      </w:r>
      <w:r w:rsidR="00AF4787" w:rsidRPr="001D74B9">
        <w:rPr>
          <w:lang w:val="en-GB"/>
        </w:rPr>
        <w:t xml:space="preserve"> and </w:t>
      </w:r>
      <w:r w:rsidR="00864FA8" w:rsidRPr="001D74B9">
        <w:rPr>
          <w:lang w:val="en-GB"/>
        </w:rPr>
        <w:t xml:space="preserve">also </w:t>
      </w:r>
      <w:r w:rsidR="00AF4787" w:rsidRPr="001D74B9">
        <w:rPr>
          <w:lang w:val="en-GB"/>
        </w:rPr>
        <w:t>the European Social Partners</w:t>
      </w:r>
      <w:r w:rsidR="00B26B8B" w:rsidRPr="001D74B9">
        <w:rPr>
          <w:lang w:val="en-GB"/>
        </w:rPr>
        <w:t>,</w:t>
      </w:r>
      <w:r w:rsidRPr="001D74B9">
        <w:rPr>
          <w:lang w:val="en-GB"/>
        </w:rPr>
        <w:t xml:space="preserve"> have </w:t>
      </w:r>
      <w:r w:rsidR="00C82BC7" w:rsidRPr="001D74B9">
        <w:rPr>
          <w:lang w:val="en-GB"/>
        </w:rPr>
        <w:t xml:space="preserve">gathered, published and regularly updated the </w:t>
      </w:r>
      <w:r w:rsidRPr="001D74B9">
        <w:rPr>
          <w:lang w:val="en-GB"/>
        </w:rPr>
        <w:t>information on measures taken at national level to address first</w:t>
      </w:r>
      <w:r w:rsidR="004B5BBB" w:rsidRPr="001D74B9">
        <w:rPr>
          <w:lang w:val="en-GB"/>
        </w:rPr>
        <w:t>ly,</w:t>
      </w:r>
      <w:r w:rsidRPr="001D74B9">
        <w:rPr>
          <w:lang w:val="en-GB"/>
        </w:rPr>
        <w:t xml:space="preserve"> the emergency phase and </w:t>
      </w:r>
      <w:r w:rsidR="004B5BBB" w:rsidRPr="001D74B9">
        <w:rPr>
          <w:lang w:val="en-GB"/>
        </w:rPr>
        <w:t>subsequently,</w:t>
      </w:r>
      <w:r w:rsidRPr="001D74B9">
        <w:rPr>
          <w:lang w:val="en-GB"/>
        </w:rPr>
        <w:t xml:space="preserve"> the </w:t>
      </w:r>
      <w:r w:rsidR="004B5BBB" w:rsidRPr="001D74B9">
        <w:rPr>
          <w:lang w:val="en-GB"/>
        </w:rPr>
        <w:t>resumption</w:t>
      </w:r>
      <w:r w:rsidRPr="001D74B9">
        <w:rPr>
          <w:lang w:val="en-GB"/>
        </w:rPr>
        <w:t xml:space="preserve"> of economic activities and planning of recovery program</w:t>
      </w:r>
      <w:r w:rsidR="004B5BBB" w:rsidRPr="001D74B9">
        <w:rPr>
          <w:lang w:val="en-GB"/>
        </w:rPr>
        <w:t>me</w:t>
      </w:r>
      <w:r w:rsidRPr="001D74B9">
        <w:rPr>
          <w:lang w:val="en-GB"/>
        </w:rPr>
        <w:t>s.</w:t>
      </w:r>
      <w:r w:rsidR="000E0835" w:rsidRPr="001D74B9">
        <w:rPr>
          <w:lang w:val="en-GB"/>
        </w:rPr>
        <w:t xml:space="preserve"> </w:t>
      </w:r>
    </w:p>
    <w:p w14:paraId="1E224F1D" w14:textId="77777777" w:rsidR="002F0EAE" w:rsidRPr="001D74B9" w:rsidRDefault="002F0EAE">
      <w:pPr>
        <w:rPr>
          <w:lang w:val="en-GB"/>
        </w:rPr>
      </w:pPr>
    </w:p>
    <w:p w14:paraId="2541CADA" w14:textId="77777777" w:rsidR="00EC2149" w:rsidRPr="001D74B9" w:rsidRDefault="00AC0C54">
      <w:pPr>
        <w:pStyle w:val="Heading2"/>
        <w:rPr>
          <w:lang w:val="en-GB"/>
        </w:rPr>
      </w:pPr>
      <w:r w:rsidRPr="001D74B9">
        <w:rPr>
          <w:lang w:val="en-GB"/>
        </w:rPr>
        <w:t>In some countries</w:t>
      </w:r>
      <w:r w:rsidR="008A3A2C" w:rsidRPr="001D74B9">
        <w:rPr>
          <w:lang w:val="en-GB"/>
        </w:rPr>
        <w:t xml:space="preserve"> bipartite and</w:t>
      </w:r>
      <w:r w:rsidRPr="001D74B9">
        <w:rPr>
          <w:lang w:val="en-GB"/>
        </w:rPr>
        <w:t xml:space="preserve"> tripartite agreements have been signed since the start of the pandemic, </w:t>
      </w:r>
      <w:r w:rsidR="004B5BBB" w:rsidRPr="001D74B9">
        <w:rPr>
          <w:lang w:val="en-GB"/>
        </w:rPr>
        <w:t>together with</w:t>
      </w:r>
      <w:r w:rsidRPr="001D74B9">
        <w:rPr>
          <w:lang w:val="en-GB"/>
        </w:rPr>
        <w:t xml:space="preserve"> a number of bipartite sector</w:t>
      </w:r>
      <w:r w:rsidR="003D0B95" w:rsidRPr="001D74B9">
        <w:rPr>
          <w:lang w:val="en-GB"/>
        </w:rPr>
        <w:t>al</w:t>
      </w:r>
      <w:r w:rsidRPr="001D74B9">
        <w:rPr>
          <w:lang w:val="en-GB"/>
        </w:rPr>
        <w:t xml:space="preserve"> agreements aiming at </w:t>
      </w:r>
      <w:r w:rsidR="004B5BBB" w:rsidRPr="001D74B9">
        <w:rPr>
          <w:lang w:val="en-GB"/>
        </w:rPr>
        <w:t xml:space="preserve">introducing </w:t>
      </w:r>
      <w:r w:rsidRPr="001D74B9">
        <w:rPr>
          <w:lang w:val="en-GB"/>
        </w:rPr>
        <w:t>measures to keep working places healthy and safe</w:t>
      </w:r>
      <w:r w:rsidR="004F1A4D" w:rsidRPr="001D74B9">
        <w:rPr>
          <w:lang w:val="en-GB"/>
        </w:rPr>
        <w:t>.</w:t>
      </w:r>
      <w:r w:rsidRPr="001D74B9">
        <w:rPr>
          <w:lang w:val="en-GB"/>
        </w:rPr>
        <w:t xml:space="preserve"> </w:t>
      </w:r>
    </w:p>
    <w:p w14:paraId="680FD353" w14:textId="77777777" w:rsidR="00EC2149" w:rsidRPr="001D74B9" w:rsidRDefault="00EC2149">
      <w:pPr>
        <w:rPr>
          <w:lang w:val="en-GB"/>
        </w:rPr>
      </w:pPr>
    </w:p>
    <w:p w14:paraId="422B17F4" w14:textId="77777777" w:rsidR="00AE4F65" w:rsidRPr="001D74B9" w:rsidRDefault="00B26B8B">
      <w:pPr>
        <w:pStyle w:val="Heading2"/>
        <w:rPr>
          <w:lang w:val="en-GB"/>
        </w:rPr>
      </w:pPr>
      <w:r w:rsidRPr="001D74B9">
        <w:rPr>
          <w:lang w:val="en-GB"/>
        </w:rPr>
        <w:t xml:space="preserve">Given the </w:t>
      </w:r>
      <w:r w:rsidR="00046D22" w:rsidRPr="001D74B9">
        <w:rPr>
          <w:lang w:val="en-GB"/>
        </w:rPr>
        <w:t xml:space="preserve">lack of </w:t>
      </w:r>
      <w:r w:rsidRPr="001D74B9">
        <w:rPr>
          <w:lang w:val="en-GB"/>
        </w:rPr>
        <w:t xml:space="preserve">a </w:t>
      </w:r>
      <w:r w:rsidR="00046D22" w:rsidRPr="001D74B9">
        <w:rPr>
          <w:lang w:val="en-GB"/>
        </w:rPr>
        <w:t xml:space="preserve">coordinated response by the </w:t>
      </w:r>
      <w:r w:rsidR="00AC0C54" w:rsidRPr="001D74B9">
        <w:rPr>
          <w:lang w:val="en-GB"/>
        </w:rPr>
        <w:t xml:space="preserve">Member States </w:t>
      </w:r>
      <w:r w:rsidRPr="001D74B9">
        <w:rPr>
          <w:lang w:val="en-GB"/>
        </w:rPr>
        <w:t xml:space="preserve">at the beginning of the pandemic crisis, </w:t>
      </w:r>
      <w:r w:rsidR="00046D22" w:rsidRPr="001D74B9">
        <w:rPr>
          <w:lang w:val="en-GB"/>
        </w:rPr>
        <w:t xml:space="preserve">it </w:t>
      </w:r>
      <w:r w:rsidRPr="001D74B9">
        <w:rPr>
          <w:lang w:val="en-GB"/>
        </w:rPr>
        <w:t>is</w:t>
      </w:r>
      <w:r w:rsidR="00046D22" w:rsidRPr="001D74B9">
        <w:rPr>
          <w:lang w:val="en-GB"/>
        </w:rPr>
        <w:t xml:space="preserve"> clear that i</w:t>
      </w:r>
      <w:r w:rsidR="00AC0C54" w:rsidRPr="001D74B9">
        <w:rPr>
          <w:lang w:val="en-GB"/>
        </w:rPr>
        <w:t>n the recovery stage we need a solidarity-based approach among M</w:t>
      </w:r>
      <w:r w:rsidR="003D0B95" w:rsidRPr="001D74B9">
        <w:rPr>
          <w:lang w:val="en-GB"/>
        </w:rPr>
        <w:t xml:space="preserve">ember </w:t>
      </w:r>
      <w:r w:rsidR="00AC0C54" w:rsidRPr="001D74B9">
        <w:rPr>
          <w:lang w:val="en-GB"/>
        </w:rPr>
        <w:t>S</w:t>
      </w:r>
      <w:r w:rsidR="003D0B95" w:rsidRPr="001D74B9">
        <w:rPr>
          <w:lang w:val="en-GB"/>
        </w:rPr>
        <w:t>tates</w:t>
      </w:r>
      <w:r w:rsidR="00AC0C54" w:rsidRPr="001D74B9">
        <w:rPr>
          <w:lang w:val="en-GB"/>
        </w:rPr>
        <w:t xml:space="preserve"> for the future of Europe.</w:t>
      </w:r>
    </w:p>
    <w:p w14:paraId="0A42CEB3" w14:textId="77777777" w:rsidR="00BD0F1F" w:rsidRPr="001D74B9" w:rsidRDefault="00BD0F1F" w:rsidP="00CD407F">
      <w:pPr>
        <w:rPr>
          <w:lang w:val="en-GB"/>
        </w:rPr>
      </w:pPr>
    </w:p>
    <w:p w14:paraId="40006173" w14:textId="77777777" w:rsidR="00BD0F1F" w:rsidRPr="001D74B9" w:rsidRDefault="00BD0F1F">
      <w:pPr>
        <w:pStyle w:val="Heading2"/>
        <w:rPr>
          <w:lang w:val="en-GB"/>
        </w:rPr>
      </w:pPr>
      <w:r w:rsidRPr="001D74B9">
        <w:rPr>
          <w:lang w:val="en-GB"/>
        </w:rPr>
        <w:t>The European social partners – ETUC, BusinessEurope, CEEP and SME United – in their joint statement on the COVID-19 emergency</w:t>
      </w:r>
      <w:r w:rsidR="00B26B8B" w:rsidRPr="001D74B9">
        <w:rPr>
          <w:lang w:val="en-GB"/>
        </w:rPr>
        <w:t>,</w:t>
      </w:r>
      <w:r w:rsidRPr="001D74B9">
        <w:rPr>
          <w:lang w:val="en-GB"/>
        </w:rPr>
        <w:t xml:space="preserve"> call </w:t>
      </w:r>
      <w:r w:rsidR="00B26B8B" w:rsidRPr="001D74B9">
        <w:rPr>
          <w:lang w:val="en-GB"/>
        </w:rPr>
        <w:t xml:space="preserve">strongly </w:t>
      </w:r>
      <w:r w:rsidRPr="001D74B9">
        <w:rPr>
          <w:lang w:val="en-GB"/>
        </w:rPr>
        <w:t>on the Member States to involve national social partners in the design and implementation of national measures. Nevertheless</w:t>
      </w:r>
      <w:r w:rsidR="001746B8" w:rsidRPr="001D74B9">
        <w:rPr>
          <w:lang w:val="en-GB"/>
        </w:rPr>
        <w:t>,</w:t>
      </w:r>
      <w:r w:rsidRPr="001D74B9">
        <w:rPr>
          <w:lang w:val="en-GB"/>
        </w:rPr>
        <w:t xml:space="preserve"> their active and effective contribution depends not only on their own capacity but also on government recognition of their role in containing the pandemic and addressing its socio-economic consequences. There are good examples of crisis management pro-actively led by </w:t>
      </w:r>
      <w:r w:rsidR="00C92126" w:rsidRPr="001D74B9">
        <w:rPr>
          <w:lang w:val="en-GB"/>
        </w:rPr>
        <w:t xml:space="preserve">sectoral European and </w:t>
      </w:r>
      <w:r w:rsidRPr="001D74B9">
        <w:rPr>
          <w:lang w:val="en-GB"/>
        </w:rPr>
        <w:t>social partners. Some are tripartite</w:t>
      </w:r>
      <w:r w:rsidR="001746B8" w:rsidRPr="001D74B9">
        <w:rPr>
          <w:lang w:val="en-GB"/>
        </w:rPr>
        <w:t>,</w:t>
      </w:r>
      <w:r w:rsidRPr="001D74B9">
        <w:rPr>
          <w:lang w:val="en-GB"/>
        </w:rPr>
        <w:t xml:space="preserve"> while some are bipartite. Collective agreements in several European countries </w:t>
      </w:r>
      <w:r w:rsidR="001746B8" w:rsidRPr="001D74B9">
        <w:rPr>
          <w:lang w:val="en-GB"/>
        </w:rPr>
        <w:t xml:space="preserve">have sought to </w:t>
      </w:r>
      <w:r w:rsidRPr="001D74B9">
        <w:rPr>
          <w:lang w:val="en-GB"/>
        </w:rPr>
        <w:t xml:space="preserve">contain the virus </w:t>
      </w:r>
      <w:r w:rsidR="001746B8" w:rsidRPr="001D74B9">
        <w:rPr>
          <w:lang w:val="en-GB"/>
        </w:rPr>
        <w:t xml:space="preserve">by </w:t>
      </w:r>
      <w:r w:rsidRPr="001D74B9">
        <w:rPr>
          <w:lang w:val="en-GB"/>
        </w:rPr>
        <w:t xml:space="preserve">ensuring a safe working environment, specific working arrangements and social safety nets, </w:t>
      </w:r>
      <w:r w:rsidR="001746B8" w:rsidRPr="001D74B9">
        <w:rPr>
          <w:lang w:val="en-GB"/>
        </w:rPr>
        <w:t>such as</w:t>
      </w:r>
      <w:r w:rsidRPr="001D74B9">
        <w:rPr>
          <w:lang w:val="en-GB"/>
        </w:rPr>
        <w:t xml:space="preserve"> sick leave and parental leave.</w:t>
      </w:r>
    </w:p>
    <w:p w14:paraId="69A749FF" w14:textId="77777777" w:rsidR="00AC0C54" w:rsidRPr="001D74B9" w:rsidRDefault="00AC0C54">
      <w:pPr>
        <w:pStyle w:val="Heading2"/>
        <w:numPr>
          <w:ilvl w:val="0"/>
          <w:numId w:val="0"/>
        </w:numPr>
        <w:tabs>
          <w:tab w:val="left" w:pos="720"/>
          <w:tab w:val="left" w:pos="1360"/>
        </w:tabs>
        <w:overflowPunct w:val="0"/>
        <w:autoSpaceDE w:val="0"/>
        <w:autoSpaceDN w:val="0"/>
        <w:adjustRightInd w:val="0"/>
        <w:ind w:left="567"/>
        <w:textAlignment w:val="baseline"/>
        <w:rPr>
          <w:lang w:val="en-GB"/>
        </w:rPr>
      </w:pPr>
    </w:p>
    <w:p w14:paraId="51CEB7F1" w14:textId="77777777" w:rsidR="00F01B90" w:rsidRPr="001D74B9" w:rsidRDefault="00AC0C54">
      <w:pPr>
        <w:pStyle w:val="Heading2"/>
        <w:rPr>
          <w:lang w:val="en-GB"/>
        </w:rPr>
      </w:pPr>
      <w:r w:rsidRPr="001D74B9">
        <w:rPr>
          <w:lang w:val="en-GB"/>
        </w:rPr>
        <w:t xml:space="preserve">The EU recovery plan, which includes the Commission's New Generation EU proposal and all the measures already adopted with ad-hoc funds, grants and loans from the ECB and the EIB, undoubtedly represents a substantial package of financial measures, which </w:t>
      </w:r>
      <w:r w:rsidR="00E67A47" w:rsidRPr="001D74B9">
        <w:rPr>
          <w:lang w:val="en-GB"/>
        </w:rPr>
        <w:t xml:space="preserve">should </w:t>
      </w:r>
      <w:r w:rsidR="00823994" w:rsidRPr="001D74B9">
        <w:rPr>
          <w:lang w:val="en-GB"/>
        </w:rPr>
        <w:t>harness</w:t>
      </w:r>
      <w:r w:rsidR="00E67A47" w:rsidRPr="001D74B9">
        <w:rPr>
          <w:lang w:val="en-GB"/>
        </w:rPr>
        <w:t xml:space="preserve"> public and private investment</w:t>
      </w:r>
      <w:r w:rsidR="00823994" w:rsidRPr="001D74B9">
        <w:rPr>
          <w:lang w:val="en-GB"/>
        </w:rPr>
        <w:t>,</w:t>
      </w:r>
      <w:r w:rsidR="00E67A47" w:rsidRPr="001D74B9">
        <w:rPr>
          <w:lang w:val="en-GB"/>
        </w:rPr>
        <w:t xml:space="preserve"> targeted to support sustainable growth </w:t>
      </w:r>
      <w:r w:rsidR="00662F06" w:rsidRPr="001D74B9">
        <w:rPr>
          <w:lang w:val="en-GB"/>
        </w:rPr>
        <w:t>and quality jobs</w:t>
      </w:r>
      <w:r w:rsidRPr="001D74B9">
        <w:rPr>
          <w:lang w:val="en-GB"/>
        </w:rPr>
        <w:t>.</w:t>
      </w:r>
      <w:r w:rsidR="008D271A" w:rsidRPr="001D74B9">
        <w:rPr>
          <w:lang w:val="en-GB"/>
        </w:rPr>
        <w:t xml:space="preserve"> </w:t>
      </w:r>
    </w:p>
    <w:p w14:paraId="02737F82" w14:textId="77777777" w:rsidR="00F01B90" w:rsidRPr="001D74B9" w:rsidRDefault="00F01B90">
      <w:pPr>
        <w:rPr>
          <w:lang w:val="en-GB"/>
        </w:rPr>
      </w:pPr>
    </w:p>
    <w:p w14:paraId="23EF415F" w14:textId="77777777" w:rsidR="0075001D" w:rsidRPr="001D74B9" w:rsidRDefault="002B1EBE">
      <w:pPr>
        <w:pStyle w:val="Heading2"/>
        <w:rPr>
          <w:lang w:val="en-GB"/>
        </w:rPr>
      </w:pPr>
      <w:r w:rsidRPr="001D74B9">
        <w:rPr>
          <w:lang w:val="en-GB"/>
        </w:rPr>
        <w:t xml:space="preserve">In the Tripartite Social Summit on </w:t>
      </w:r>
      <w:r w:rsidR="00823994" w:rsidRPr="001D74B9">
        <w:rPr>
          <w:lang w:val="en-GB"/>
        </w:rPr>
        <w:t xml:space="preserve">23 </w:t>
      </w:r>
      <w:r w:rsidRPr="001D74B9">
        <w:rPr>
          <w:lang w:val="en-GB"/>
        </w:rPr>
        <w:t>June</w:t>
      </w:r>
      <w:r w:rsidR="00B11432" w:rsidRPr="001D74B9">
        <w:rPr>
          <w:lang w:val="en-GB"/>
        </w:rPr>
        <w:t xml:space="preserve"> </w:t>
      </w:r>
      <w:r w:rsidR="00C92126" w:rsidRPr="001D74B9">
        <w:rPr>
          <w:lang w:val="en-GB"/>
        </w:rPr>
        <w:t>2020</w:t>
      </w:r>
      <w:r w:rsidRPr="001D74B9">
        <w:rPr>
          <w:lang w:val="en-GB"/>
        </w:rPr>
        <w:t xml:space="preserve">, the </w:t>
      </w:r>
      <w:r w:rsidR="00823994" w:rsidRPr="001D74B9">
        <w:rPr>
          <w:lang w:val="en-GB"/>
        </w:rPr>
        <w:t xml:space="preserve">social partners </w:t>
      </w:r>
      <w:r w:rsidRPr="001D74B9">
        <w:rPr>
          <w:lang w:val="en-GB"/>
        </w:rPr>
        <w:t>stressed the</w:t>
      </w:r>
      <w:r w:rsidR="00AC0C54" w:rsidRPr="001D74B9">
        <w:rPr>
          <w:lang w:val="en-GB"/>
        </w:rPr>
        <w:t xml:space="preserve"> need</w:t>
      </w:r>
      <w:r w:rsidR="005A28A6" w:rsidRPr="001D74B9">
        <w:rPr>
          <w:lang w:val="en-GB"/>
        </w:rPr>
        <w:t xml:space="preserve"> for investment in the public health sector and services most</w:t>
      </w:r>
      <w:r w:rsidR="00FD17CE" w:rsidRPr="001D74B9">
        <w:rPr>
          <w:lang w:val="en-GB"/>
        </w:rPr>
        <w:t xml:space="preserve"> badly</w:t>
      </w:r>
      <w:r w:rsidR="005A28A6" w:rsidRPr="001D74B9">
        <w:rPr>
          <w:lang w:val="en-GB"/>
        </w:rPr>
        <w:t xml:space="preserve"> affected in this period and</w:t>
      </w:r>
      <w:r w:rsidR="00AC0C54" w:rsidRPr="001D74B9">
        <w:rPr>
          <w:lang w:val="en-GB"/>
        </w:rPr>
        <w:t xml:space="preserve"> for structural investment </w:t>
      </w:r>
      <w:r w:rsidR="003D0B95" w:rsidRPr="001D74B9">
        <w:rPr>
          <w:lang w:val="en-GB"/>
        </w:rPr>
        <w:t xml:space="preserve">for </w:t>
      </w:r>
      <w:r w:rsidR="00AC0C54" w:rsidRPr="001D74B9">
        <w:rPr>
          <w:lang w:val="en-GB"/>
        </w:rPr>
        <w:t>an ecological transition, digital transformation and innovative technologies to boost European competitiveness by supporting quality employment, training and social and economic progress in a coordinated European context.</w:t>
      </w:r>
    </w:p>
    <w:p w14:paraId="2CAB9442" w14:textId="77777777" w:rsidR="0075001D" w:rsidRPr="001D74B9" w:rsidRDefault="0075001D">
      <w:pPr>
        <w:rPr>
          <w:lang w:val="en-GB"/>
        </w:rPr>
      </w:pPr>
    </w:p>
    <w:p w14:paraId="4D63820A" w14:textId="77777777" w:rsidR="00C9527C" w:rsidRPr="001D74B9" w:rsidRDefault="00F10257">
      <w:pPr>
        <w:pStyle w:val="Heading2"/>
        <w:rPr>
          <w:lang w:val="en-GB"/>
        </w:rPr>
      </w:pPr>
      <w:r w:rsidRPr="001D74B9">
        <w:rPr>
          <w:lang w:val="en-GB"/>
        </w:rPr>
        <w:t xml:space="preserve">It is crucial that the EU Recovery Plan is built on and with the involvement of the </w:t>
      </w:r>
      <w:r w:rsidR="00B9494B" w:rsidRPr="001D74B9">
        <w:rPr>
          <w:lang w:val="en-GB"/>
        </w:rPr>
        <w:t>social partners</w:t>
      </w:r>
      <w:r w:rsidR="00356E98" w:rsidRPr="001D74B9">
        <w:rPr>
          <w:lang w:val="en-GB"/>
        </w:rPr>
        <w:t xml:space="preserve"> at all levels</w:t>
      </w:r>
      <w:r w:rsidRPr="001D74B9">
        <w:rPr>
          <w:lang w:val="en-GB"/>
        </w:rPr>
        <w:t xml:space="preserve">. Social dialogue is the key instrument for sound governance </w:t>
      </w:r>
      <w:r w:rsidR="00B9494B" w:rsidRPr="001D74B9">
        <w:rPr>
          <w:lang w:val="en-GB"/>
        </w:rPr>
        <w:t>in</w:t>
      </w:r>
      <w:r w:rsidRPr="001D74B9">
        <w:rPr>
          <w:lang w:val="en-GB"/>
        </w:rPr>
        <w:t xml:space="preserve"> periods of crisis. Consultation and </w:t>
      </w:r>
      <w:r w:rsidR="00B9494B" w:rsidRPr="001D74B9">
        <w:rPr>
          <w:lang w:val="en-GB"/>
        </w:rPr>
        <w:t>discussions</w:t>
      </w:r>
      <w:r w:rsidRPr="001D74B9">
        <w:rPr>
          <w:lang w:val="en-GB"/>
        </w:rPr>
        <w:t xml:space="preserve"> at tripartite level enhance the quality of policy design to respond to the crisis, engage social partners in implementation and build trust among them to overcome difficulties, while supporting social cohesion and the resilience of our economies. The mapping of the impact of the crisis on workers, enterprises and local communities is </w:t>
      </w:r>
      <w:r w:rsidR="00B9494B" w:rsidRPr="001D74B9">
        <w:rPr>
          <w:lang w:val="en-GB"/>
        </w:rPr>
        <w:t xml:space="preserve">also </w:t>
      </w:r>
      <w:r w:rsidRPr="001D74B9">
        <w:rPr>
          <w:lang w:val="en-GB"/>
        </w:rPr>
        <w:t xml:space="preserve">carried out with local authorities and is crucial for the adoption of agreed temporary measures and to build consensus for medium- and long-term recovery plans. </w:t>
      </w:r>
    </w:p>
    <w:p w14:paraId="7D80A035" w14:textId="77777777" w:rsidR="00C9527C" w:rsidRPr="001D74B9" w:rsidRDefault="00C9527C">
      <w:pPr>
        <w:rPr>
          <w:lang w:val="en-GB"/>
        </w:rPr>
      </w:pPr>
    </w:p>
    <w:p w14:paraId="4A8F04A5" w14:textId="77777777" w:rsidR="00511417" w:rsidRPr="001D74B9" w:rsidRDefault="006B41C5">
      <w:pPr>
        <w:pStyle w:val="Heading2"/>
        <w:rPr>
          <w:lang w:val="en-GB"/>
        </w:rPr>
      </w:pPr>
      <w:r w:rsidRPr="001D74B9">
        <w:rPr>
          <w:lang w:val="en-GB"/>
        </w:rPr>
        <w:t>I</w:t>
      </w:r>
      <w:r w:rsidR="00AC0C54" w:rsidRPr="001D74B9">
        <w:rPr>
          <w:lang w:val="en-GB"/>
        </w:rPr>
        <w:t xml:space="preserve">t is necessary to define national plans to allocate European resources on the basis of medium-long term planning, without dispersing resources by fragmenting them, and taking into account the fragilities that </w:t>
      </w:r>
      <w:r w:rsidR="003D0B95" w:rsidRPr="001D74B9">
        <w:rPr>
          <w:lang w:val="en-GB"/>
        </w:rPr>
        <w:t xml:space="preserve">have </w:t>
      </w:r>
      <w:r w:rsidR="00AC0C54" w:rsidRPr="001D74B9">
        <w:rPr>
          <w:lang w:val="en-GB"/>
        </w:rPr>
        <w:t xml:space="preserve">emerged in the emergency phase </w:t>
      </w:r>
      <w:r w:rsidR="001E2357" w:rsidRPr="001D74B9">
        <w:rPr>
          <w:lang w:val="en-GB"/>
        </w:rPr>
        <w:t>and the rise of inequalities in society</w:t>
      </w:r>
      <w:r w:rsidR="00AC0C54" w:rsidRPr="001D74B9">
        <w:rPr>
          <w:lang w:val="en-GB"/>
        </w:rPr>
        <w:t>.</w:t>
      </w:r>
    </w:p>
    <w:p w14:paraId="6BB1FD4A" w14:textId="77777777" w:rsidR="00511417" w:rsidRPr="001D74B9" w:rsidRDefault="00511417">
      <w:pPr>
        <w:rPr>
          <w:lang w:val="en-GB"/>
        </w:rPr>
      </w:pPr>
    </w:p>
    <w:p w14:paraId="264EE770" w14:textId="77777777" w:rsidR="00247B13" w:rsidRPr="001D74B9" w:rsidRDefault="007A7987">
      <w:pPr>
        <w:pStyle w:val="Heading2"/>
        <w:rPr>
          <w:lang w:val="en-GB"/>
        </w:rPr>
      </w:pPr>
      <w:r w:rsidRPr="001D74B9">
        <w:rPr>
          <w:lang w:val="en-GB"/>
        </w:rPr>
        <w:t>In some EU countries</w:t>
      </w:r>
      <w:r w:rsidR="00B9494B" w:rsidRPr="001D74B9">
        <w:rPr>
          <w:lang w:val="en-GB"/>
        </w:rPr>
        <w:t>,</w:t>
      </w:r>
      <w:r w:rsidRPr="001D74B9">
        <w:rPr>
          <w:lang w:val="en-GB"/>
        </w:rPr>
        <w:t xml:space="preserve"> </w:t>
      </w:r>
      <w:r w:rsidR="00B9494B" w:rsidRPr="001D74B9">
        <w:rPr>
          <w:lang w:val="en-GB"/>
        </w:rPr>
        <w:t>s</w:t>
      </w:r>
      <w:r w:rsidR="00AC0C54" w:rsidRPr="001D74B9">
        <w:rPr>
          <w:lang w:val="en-GB"/>
        </w:rPr>
        <w:t xml:space="preserve">ocial dialogue </w:t>
      </w:r>
      <w:r w:rsidR="003D0B95" w:rsidRPr="001D74B9">
        <w:rPr>
          <w:lang w:val="en-GB"/>
        </w:rPr>
        <w:t xml:space="preserve">has </w:t>
      </w:r>
      <w:r w:rsidR="00AC0C54" w:rsidRPr="001D74B9">
        <w:rPr>
          <w:lang w:val="en-GB"/>
        </w:rPr>
        <w:t xml:space="preserve">proved to be effective for </w:t>
      </w:r>
      <w:r w:rsidR="003D0B95" w:rsidRPr="001D74B9">
        <w:rPr>
          <w:lang w:val="en-GB"/>
        </w:rPr>
        <w:t>the</w:t>
      </w:r>
      <w:r w:rsidR="00AC0C54" w:rsidRPr="001D74B9">
        <w:rPr>
          <w:lang w:val="en-GB"/>
        </w:rPr>
        <w:t xml:space="preserve"> prompt and effective adoption of strong emergency measures to help businesses survive and thus to retain jobs and </w:t>
      </w:r>
      <w:r w:rsidR="00BB7EBA" w:rsidRPr="001D74B9">
        <w:rPr>
          <w:b/>
          <w:bCs/>
          <w:lang w:val="en-GB"/>
        </w:rPr>
        <w:t>k</w:t>
      </w:r>
      <w:r w:rsidR="00AC0C54" w:rsidRPr="001D74B9">
        <w:rPr>
          <w:b/>
          <w:bCs/>
          <w:lang w:val="en-GB"/>
        </w:rPr>
        <w:t>eep people in the labour market</w:t>
      </w:r>
      <w:r w:rsidR="00B9494B" w:rsidRPr="001D74B9">
        <w:rPr>
          <w:b/>
          <w:bCs/>
          <w:lang w:val="en-GB"/>
        </w:rPr>
        <w:t>,</w:t>
      </w:r>
      <w:r w:rsidR="00612658" w:rsidRPr="001D74B9">
        <w:rPr>
          <w:lang w:val="en-GB"/>
        </w:rPr>
        <w:t xml:space="preserve"> helping ensure short-time working schemes aim</w:t>
      </w:r>
      <w:r w:rsidR="00B9494B" w:rsidRPr="001D74B9">
        <w:rPr>
          <w:lang w:val="en-GB"/>
        </w:rPr>
        <w:t>ed</w:t>
      </w:r>
      <w:r w:rsidR="00612658" w:rsidRPr="001D74B9">
        <w:rPr>
          <w:lang w:val="en-GB"/>
        </w:rPr>
        <w:t xml:space="preserve"> at mitigating the effects on employment and to provide planning security for workers and companies in mastering the recovery phase.</w:t>
      </w:r>
    </w:p>
    <w:p w14:paraId="3C11685D" w14:textId="77777777" w:rsidR="005E3D2A" w:rsidRPr="001D74B9" w:rsidRDefault="005E3D2A" w:rsidP="00CD407F">
      <w:pPr>
        <w:pStyle w:val="Heading2"/>
        <w:numPr>
          <w:ilvl w:val="0"/>
          <w:numId w:val="0"/>
        </w:numPr>
        <w:ind w:left="567"/>
        <w:rPr>
          <w:lang w:val="en-GB"/>
        </w:rPr>
      </w:pPr>
    </w:p>
    <w:p w14:paraId="02DD85DD" w14:textId="77777777" w:rsidR="005E3D2A" w:rsidRPr="001D74B9" w:rsidRDefault="00EE49CE">
      <w:pPr>
        <w:pStyle w:val="Heading2"/>
        <w:rPr>
          <w:lang w:val="en-GB"/>
        </w:rPr>
      </w:pPr>
      <w:r w:rsidRPr="001D74B9">
        <w:rPr>
          <w:lang w:val="en-GB"/>
        </w:rPr>
        <w:t>In some Member States,</w:t>
      </w:r>
      <w:r w:rsidR="00621391" w:rsidRPr="001D74B9">
        <w:rPr>
          <w:lang w:val="en-GB"/>
        </w:rPr>
        <w:t xml:space="preserve"> however,</w:t>
      </w:r>
      <w:r w:rsidRPr="001D74B9">
        <w:rPr>
          <w:lang w:val="en-GB"/>
        </w:rPr>
        <w:t xml:space="preserve"> m</w:t>
      </w:r>
      <w:r w:rsidR="005E3D2A" w:rsidRPr="001D74B9">
        <w:rPr>
          <w:lang w:val="en-GB"/>
        </w:rPr>
        <w:t xml:space="preserve">ost vulnerable groups, such as those in non-standard forms of employment, self-employed, </w:t>
      </w:r>
      <w:r w:rsidRPr="001D74B9">
        <w:rPr>
          <w:lang w:val="en-GB"/>
        </w:rPr>
        <w:t>and</w:t>
      </w:r>
      <w:r w:rsidR="005E3D2A" w:rsidRPr="001D74B9">
        <w:rPr>
          <w:lang w:val="en-GB"/>
        </w:rPr>
        <w:t xml:space="preserve"> undeclared workers</w:t>
      </w:r>
      <w:r w:rsidR="005171D3" w:rsidRPr="001D74B9">
        <w:rPr>
          <w:lang w:val="en-GB"/>
        </w:rPr>
        <w:t>,</w:t>
      </w:r>
      <w:r w:rsidR="005E3D2A" w:rsidRPr="001D74B9">
        <w:rPr>
          <w:lang w:val="en-GB"/>
        </w:rPr>
        <w:t xml:space="preserve"> did not </w:t>
      </w:r>
      <w:r w:rsidR="005171D3" w:rsidRPr="001D74B9">
        <w:rPr>
          <w:lang w:val="en-GB"/>
        </w:rPr>
        <w:t>receive</w:t>
      </w:r>
      <w:r w:rsidR="005E3D2A" w:rsidRPr="001D74B9">
        <w:rPr>
          <w:lang w:val="en-GB"/>
        </w:rPr>
        <w:t xml:space="preserve"> access to protection measures and </w:t>
      </w:r>
      <w:r w:rsidRPr="001D74B9">
        <w:rPr>
          <w:lang w:val="en-GB"/>
        </w:rPr>
        <w:t xml:space="preserve">face the risk </w:t>
      </w:r>
      <w:r w:rsidR="00621391" w:rsidRPr="001D74B9">
        <w:rPr>
          <w:lang w:val="en-GB"/>
        </w:rPr>
        <w:t>of</w:t>
      </w:r>
      <w:r w:rsidR="005E3D2A" w:rsidRPr="001D74B9">
        <w:rPr>
          <w:lang w:val="en-GB"/>
        </w:rPr>
        <w:t xml:space="preserve"> end up in poverty, </w:t>
      </w:r>
      <w:r w:rsidR="005171D3" w:rsidRPr="001D74B9">
        <w:rPr>
          <w:lang w:val="en-GB"/>
        </w:rPr>
        <w:t>worsening</w:t>
      </w:r>
      <w:r w:rsidR="005E3D2A" w:rsidRPr="001D74B9">
        <w:rPr>
          <w:lang w:val="en-GB"/>
        </w:rPr>
        <w:t xml:space="preserve"> </w:t>
      </w:r>
      <w:r w:rsidR="005171D3" w:rsidRPr="001D74B9">
        <w:rPr>
          <w:lang w:val="en-GB"/>
        </w:rPr>
        <w:t xml:space="preserve">the </w:t>
      </w:r>
      <w:r w:rsidR="005E3D2A" w:rsidRPr="001D74B9">
        <w:rPr>
          <w:lang w:val="en-GB"/>
        </w:rPr>
        <w:t>social emergency.</w:t>
      </w:r>
    </w:p>
    <w:p w14:paraId="07652D1B" w14:textId="77777777" w:rsidR="00D06832" w:rsidRPr="001D74B9" w:rsidRDefault="00D06832" w:rsidP="00CD407F">
      <w:pPr>
        <w:rPr>
          <w:lang w:val="en-GB"/>
        </w:rPr>
      </w:pPr>
    </w:p>
    <w:p w14:paraId="4F8012AB" w14:textId="77777777" w:rsidR="00D351EE" w:rsidRPr="001D74B9" w:rsidRDefault="00D06832">
      <w:pPr>
        <w:pStyle w:val="Heading2"/>
        <w:rPr>
          <w:lang w:val="en-GB"/>
        </w:rPr>
      </w:pPr>
      <w:r w:rsidRPr="001D74B9">
        <w:rPr>
          <w:lang w:val="en-GB"/>
        </w:rPr>
        <w:t xml:space="preserve">In the long run, the EU can support Member States and </w:t>
      </w:r>
      <w:r w:rsidR="00C708ED" w:rsidRPr="001D74B9">
        <w:rPr>
          <w:lang w:val="en-GB"/>
        </w:rPr>
        <w:t xml:space="preserve">the </w:t>
      </w:r>
      <w:r w:rsidRPr="001D74B9">
        <w:rPr>
          <w:lang w:val="en-GB"/>
        </w:rPr>
        <w:t xml:space="preserve">social partners </w:t>
      </w:r>
      <w:r w:rsidR="00C708ED" w:rsidRPr="001D74B9">
        <w:rPr>
          <w:lang w:val="en-GB"/>
        </w:rPr>
        <w:t>by</w:t>
      </w:r>
      <w:r w:rsidRPr="001D74B9">
        <w:rPr>
          <w:lang w:val="en-GB"/>
        </w:rPr>
        <w:t xml:space="preserve"> revers</w:t>
      </w:r>
      <w:r w:rsidR="00C708ED" w:rsidRPr="001D74B9">
        <w:rPr>
          <w:lang w:val="en-GB"/>
        </w:rPr>
        <w:t>ing</w:t>
      </w:r>
      <w:r w:rsidRPr="001D74B9">
        <w:rPr>
          <w:lang w:val="en-GB"/>
        </w:rPr>
        <w:t xml:space="preserve"> structural reforms that lower employment protection and </w:t>
      </w:r>
      <w:r w:rsidR="00C708ED" w:rsidRPr="001D74B9">
        <w:rPr>
          <w:lang w:val="en-GB"/>
        </w:rPr>
        <w:t>by</w:t>
      </w:r>
      <w:r w:rsidRPr="001D74B9">
        <w:rPr>
          <w:lang w:val="en-GB"/>
        </w:rPr>
        <w:t xml:space="preserve"> creat</w:t>
      </w:r>
      <w:r w:rsidR="00C708ED" w:rsidRPr="001D74B9">
        <w:rPr>
          <w:lang w:val="en-GB"/>
        </w:rPr>
        <w:t>ing</w:t>
      </w:r>
      <w:r w:rsidRPr="001D74B9">
        <w:rPr>
          <w:lang w:val="en-GB"/>
        </w:rPr>
        <w:t xml:space="preserve"> more room for collective bargaining and strengthening labour market institutions</w:t>
      </w:r>
      <w:r w:rsidR="008A7780" w:rsidRPr="001D74B9">
        <w:rPr>
          <w:lang w:val="en-GB"/>
        </w:rPr>
        <w:t>. The EU should also</w:t>
      </w:r>
      <w:r w:rsidRPr="001D74B9">
        <w:rPr>
          <w:lang w:val="en-GB"/>
        </w:rPr>
        <w:t xml:space="preserve"> address urgent challenges, such as long-term unemployment, transitions to green and digitalised processes and up- and re-skilling to foster employability, while providing an adequate regulatory framework for diverse forms of work</w:t>
      </w:r>
      <w:r w:rsidR="00FD33B1" w:rsidRPr="001D74B9">
        <w:rPr>
          <w:lang w:val="en-GB"/>
        </w:rPr>
        <w:t>.</w:t>
      </w:r>
    </w:p>
    <w:p w14:paraId="7F58FAE2" w14:textId="77777777" w:rsidR="00ED35A1" w:rsidRPr="001D74B9" w:rsidRDefault="00ED35A1">
      <w:pPr>
        <w:rPr>
          <w:lang w:val="en-GB"/>
        </w:rPr>
      </w:pPr>
    </w:p>
    <w:p w14:paraId="139D99AE" w14:textId="77777777" w:rsidR="00820B5D" w:rsidRPr="001D74B9" w:rsidRDefault="00AC0C54">
      <w:pPr>
        <w:pStyle w:val="Heading2"/>
        <w:rPr>
          <w:lang w:val="en-GB"/>
        </w:rPr>
      </w:pPr>
      <w:r w:rsidRPr="001D74B9">
        <w:rPr>
          <w:lang w:val="en-GB"/>
        </w:rPr>
        <w:t>Better cooperation between the Commission, national government, employers and trade unions can also help social protection system</w:t>
      </w:r>
      <w:r w:rsidR="00B37379" w:rsidRPr="001D74B9">
        <w:rPr>
          <w:lang w:val="en-GB"/>
        </w:rPr>
        <w:t>s</w:t>
      </w:r>
      <w:r w:rsidR="000130B7" w:rsidRPr="001D74B9">
        <w:rPr>
          <w:lang w:val="en-GB"/>
        </w:rPr>
        <w:t xml:space="preserve"> </w:t>
      </w:r>
      <w:r w:rsidR="00B37379" w:rsidRPr="001D74B9">
        <w:rPr>
          <w:lang w:val="en-GB"/>
        </w:rPr>
        <w:t>to respond</w:t>
      </w:r>
      <w:r w:rsidRPr="001D74B9">
        <w:rPr>
          <w:lang w:val="en-GB"/>
        </w:rPr>
        <w:t xml:space="preserve"> to the changing economic and social context in Europe</w:t>
      </w:r>
      <w:r w:rsidR="00F36CC1" w:rsidRPr="001D74B9">
        <w:rPr>
          <w:lang w:val="en-GB"/>
        </w:rPr>
        <w:t xml:space="preserve"> in order to extend coverage to those vulnerable groups </w:t>
      </w:r>
      <w:r w:rsidR="00166902" w:rsidRPr="001D74B9">
        <w:rPr>
          <w:lang w:val="en-GB"/>
        </w:rPr>
        <w:t>that</w:t>
      </w:r>
      <w:r w:rsidR="00F36CC1" w:rsidRPr="001D74B9">
        <w:rPr>
          <w:lang w:val="en-GB"/>
        </w:rPr>
        <w:t xml:space="preserve"> are excluded today</w:t>
      </w:r>
      <w:r w:rsidRPr="001D74B9">
        <w:rPr>
          <w:lang w:val="en-GB"/>
        </w:rPr>
        <w:t>. In the context of</w:t>
      </w:r>
      <w:r w:rsidR="00A03AB4" w:rsidRPr="001D74B9">
        <w:rPr>
          <w:lang w:val="en-GB"/>
        </w:rPr>
        <w:t xml:space="preserve"> the</w:t>
      </w:r>
      <w:r w:rsidRPr="001D74B9">
        <w:rPr>
          <w:lang w:val="en-GB"/>
        </w:rPr>
        <w:t xml:space="preserve"> EPSCO Council, the European Semester should be further improved to support Member States</w:t>
      </w:r>
      <w:r w:rsidR="00CE401A" w:rsidRPr="001D74B9">
        <w:rPr>
          <w:lang w:val="en-GB"/>
        </w:rPr>
        <w:t>, with a new scoreboard of indicators,</w:t>
      </w:r>
      <w:r w:rsidRPr="001D74B9">
        <w:rPr>
          <w:lang w:val="en-GB"/>
        </w:rPr>
        <w:t xml:space="preserve"> in benchmarking progress </w:t>
      </w:r>
      <w:r w:rsidR="00D86EEE" w:rsidRPr="001D74B9">
        <w:rPr>
          <w:lang w:val="en-GB"/>
        </w:rPr>
        <w:t>in implementing agreed policies and reach common objectives at European level</w:t>
      </w:r>
      <w:r w:rsidRPr="001D74B9">
        <w:rPr>
          <w:lang w:val="en-GB"/>
        </w:rPr>
        <w:t>.</w:t>
      </w:r>
      <w:r w:rsidR="00A14BDC" w:rsidRPr="001D74B9">
        <w:rPr>
          <w:lang w:val="en-GB"/>
        </w:rPr>
        <w:t xml:space="preserve"> </w:t>
      </w:r>
      <w:r w:rsidRPr="001D74B9">
        <w:rPr>
          <w:lang w:val="en-GB"/>
        </w:rPr>
        <w:t>In th</w:t>
      </w:r>
      <w:r w:rsidR="00A03AB4" w:rsidRPr="001D74B9">
        <w:rPr>
          <w:lang w:val="en-GB"/>
        </w:rPr>
        <w:t>ese</w:t>
      </w:r>
      <w:r w:rsidRPr="001D74B9">
        <w:rPr>
          <w:lang w:val="en-GB"/>
        </w:rPr>
        <w:t xml:space="preserve"> testing times, the resolve and responsibility of all public authorities </w:t>
      </w:r>
      <w:r w:rsidR="00A03AB4" w:rsidRPr="001D74B9">
        <w:rPr>
          <w:lang w:val="en-GB"/>
        </w:rPr>
        <w:t xml:space="preserve">at </w:t>
      </w:r>
      <w:r w:rsidRPr="001D74B9">
        <w:rPr>
          <w:lang w:val="en-GB"/>
        </w:rPr>
        <w:t xml:space="preserve">EU and national level as well as </w:t>
      </w:r>
      <w:r w:rsidR="00A03AB4" w:rsidRPr="001D74B9">
        <w:rPr>
          <w:lang w:val="en-GB"/>
        </w:rPr>
        <w:t xml:space="preserve">of the </w:t>
      </w:r>
      <w:r w:rsidRPr="001D74B9">
        <w:rPr>
          <w:lang w:val="en-GB"/>
        </w:rPr>
        <w:t>social partners and other social stakeholders at all levels will be key to ensur</w:t>
      </w:r>
      <w:r w:rsidR="00A03AB4" w:rsidRPr="001D74B9">
        <w:rPr>
          <w:lang w:val="en-GB"/>
        </w:rPr>
        <w:t>ing</w:t>
      </w:r>
      <w:r w:rsidRPr="001D74B9">
        <w:rPr>
          <w:lang w:val="en-GB"/>
        </w:rPr>
        <w:t xml:space="preserve"> a sustainable recovery of our economies and strengthen</w:t>
      </w:r>
      <w:r w:rsidR="00A03AB4" w:rsidRPr="001D74B9">
        <w:rPr>
          <w:lang w:val="en-GB"/>
        </w:rPr>
        <w:t>ing</w:t>
      </w:r>
      <w:r w:rsidRPr="001D74B9">
        <w:rPr>
          <w:lang w:val="en-GB"/>
        </w:rPr>
        <w:t xml:space="preserve"> our European social model.</w:t>
      </w:r>
    </w:p>
    <w:p w14:paraId="201D5924" w14:textId="77777777" w:rsidR="00820B5D" w:rsidRPr="001D74B9" w:rsidRDefault="00820B5D">
      <w:pPr>
        <w:pStyle w:val="Heading2"/>
        <w:numPr>
          <w:ilvl w:val="0"/>
          <w:numId w:val="0"/>
        </w:numPr>
        <w:ind w:left="567"/>
        <w:rPr>
          <w:lang w:val="en-GB"/>
        </w:rPr>
      </w:pPr>
    </w:p>
    <w:p w14:paraId="20F18502" w14:textId="77777777" w:rsidR="00AD38C7" w:rsidRPr="001D74B9" w:rsidRDefault="00AC0C54">
      <w:pPr>
        <w:pStyle w:val="Heading2"/>
        <w:rPr>
          <w:bCs/>
          <w:iCs/>
          <w:lang w:val="en-GB"/>
        </w:rPr>
      </w:pPr>
      <w:r w:rsidRPr="001D74B9">
        <w:rPr>
          <w:lang w:val="en-GB"/>
        </w:rPr>
        <w:t xml:space="preserve">In its </w:t>
      </w:r>
      <w:r w:rsidR="00A03AB4" w:rsidRPr="001D74B9">
        <w:rPr>
          <w:lang w:val="en-GB"/>
        </w:rPr>
        <w:t>C</w:t>
      </w:r>
      <w:r w:rsidRPr="001D74B9">
        <w:rPr>
          <w:lang w:val="en-GB"/>
        </w:rPr>
        <w:t xml:space="preserve">ommunication 2020 European </w:t>
      </w:r>
      <w:r w:rsidR="00A03AB4" w:rsidRPr="001D74B9">
        <w:rPr>
          <w:lang w:val="en-GB"/>
        </w:rPr>
        <w:t>S</w:t>
      </w:r>
      <w:r w:rsidRPr="001D74B9">
        <w:rPr>
          <w:lang w:val="en-GB"/>
        </w:rPr>
        <w:t>emester: Country specific recommendations</w:t>
      </w:r>
      <w:r w:rsidR="00E64C35" w:rsidRPr="001D74B9">
        <w:rPr>
          <w:rStyle w:val="FootnoteReference"/>
          <w:lang w:val="en-GB"/>
        </w:rPr>
        <w:footnoteReference w:id="52"/>
      </w:r>
      <w:r w:rsidRPr="001D74B9">
        <w:rPr>
          <w:lang w:val="en-GB"/>
        </w:rPr>
        <w:t xml:space="preserve"> the European Commission addressed its recommendations to all Member States </w:t>
      </w:r>
      <w:r w:rsidR="00A03AB4" w:rsidRPr="001D74B9">
        <w:rPr>
          <w:lang w:val="en-GB"/>
        </w:rPr>
        <w:t xml:space="preserve">concerning </w:t>
      </w:r>
      <w:r w:rsidRPr="001D74B9">
        <w:rPr>
          <w:lang w:val="en-GB"/>
        </w:rPr>
        <w:t>the COVID</w:t>
      </w:r>
      <w:r w:rsidR="00A03AB4" w:rsidRPr="001D74B9">
        <w:rPr>
          <w:lang w:val="en-GB"/>
        </w:rPr>
        <w:t>-</w:t>
      </w:r>
      <w:r w:rsidRPr="001D74B9">
        <w:rPr>
          <w:lang w:val="en-GB"/>
        </w:rPr>
        <w:t xml:space="preserve">19 pandemic. </w:t>
      </w:r>
      <w:r w:rsidR="00A03AB4" w:rsidRPr="001D74B9">
        <w:rPr>
          <w:lang w:val="en-GB"/>
        </w:rPr>
        <w:t>T</w:t>
      </w:r>
      <w:r w:rsidRPr="001D74B9">
        <w:rPr>
          <w:lang w:val="en-GB"/>
        </w:rPr>
        <w:t xml:space="preserve">he introductory part highlights </w:t>
      </w:r>
      <w:r w:rsidR="00A03AB4" w:rsidRPr="001D74B9">
        <w:rPr>
          <w:lang w:val="en-GB"/>
        </w:rPr>
        <w:t xml:space="preserve">that </w:t>
      </w:r>
      <w:r w:rsidRPr="001D74B9">
        <w:rPr>
          <w:lang w:val="en-GB"/>
        </w:rPr>
        <w:t>the role of a well-functioning social dialogue is key to ensur</w:t>
      </w:r>
      <w:r w:rsidR="00A03AB4" w:rsidRPr="001D74B9">
        <w:rPr>
          <w:lang w:val="en-GB"/>
        </w:rPr>
        <w:t>ing</w:t>
      </w:r>
      <w:r w:rsidRPr="001D74B9">
        <w:rPr>
          <w:lang w:val="en-GB"/>
        </w:rPr>
        <w:t xml:space="preserve"> that measures taken are successful, inclusive and sustainable. </w:t>
      </w:r>
      <w:r w:rsidR="00E756C6" w:rsidRPr="001D74B9">
        <w:rPr>
          <w:lang w:val="en-GB"/>
        </w:rPr>
        <w:t xml:space="preserve">It has to be acknowledged </w:t>
      </w:r>
      <w:r w:rsidRPr="001D74B9">
        <w:rPr>
          <w:lang w:val="en-GB"/>
        </w:rPr>
        <w:t>that in some Member States the practice of social dialogue and involvement of social partners and CSOs during the C</w:t>
      </w:r>
      <w:r w:rsidR="00A668CC" w:rsidRPr="001D74B9">
        <w:rPr>
          <w:lang w:val="en-GB"/>
        </w:rPr>
        <w:t>OVID</w:t>
      </w:r>
      <w:r w:rsidRPr="001D74B9">
        <w:rPr>
          <w:lang w:val="en-GB"/>
        </w:rPr>
        <w:t xml:space="preserve">-19 </w:t>
      </w:r>
      <w:r w:rsidR="002C4C35" w:rsidRPr="001D74B9">
        <w:rPr>
          <w:lang w:val="en-GB"/>
        </w:rPr>
        <w:t>crisis</w:t>
      </w:r>
      <w:r w:rsidRPr="001D74B9">
        <w:rPr>
          <w:lang w:val="en-GB"/>
        </w:rPr>
        <w:t xml:space="preserve"> has been weakened or restricted</w:t>
      </w:r>
      <w:r w:rsidR="00D93A2E" w:rsidRPr="001D74B9">
        <w:rPr>
          <w:rStyle w:val="FootnoteReference"/>
          <w:lang w:val="en-GB"/>
        </w:rPr>
        <w:footnoteReference w:id="53"/>
      </w:r>
      <w:r w:rsidRPr="001D74B9">
        <w:rPr>
          <w:bCs/>
          <w:lang w:val="en-GB"/>
        </w:rPr>
        <w:t>.</w:t>
      </w:r>
      <w:r w:rsidRPr="001D74B9">
        <w:rPr>
          <w:lang w:val="en-GB"/>
        </w:rPr>
        <w:t xml:space="preserve"> Three Member States – Hungary, Poland and Romania </w:t>
      </w:r>
      <w:r w:rsidR="001420C3" w:rsidRPr="001D74B9">
        <w:rPr>
          <w:lang w:val="en-GB"/>
        </w:rPr>
        <w:t>–</w:t>
      </w:r>
      <w:r w:rsidRPr="001D74B9">
        <w:rPr>
          <w:lang w:val="en-GB"/>
        </w:rPr>
        <w:t xml:space="preserve"> have received </w:t>
      </w:r>
      <w:r w:rsidR="006B5833" w:rsidRPr="001D74B9">
        <w:rPr>
          <w:lang w:val="en-GB"/>
        </w:rPr>
        <w:t xml:space="preserve">as a consequence </w:t>
      </w:r>
      <w:r w:rsidRPr="001D74B9">
        <w:rPr>
          <w:lang w:val="en-GB"/>
        </w:rPr>
        <w:t xml:space="preserve">a recommendation </w:t>
      </w:r>
      <w:r w:rsidR="00A668CC" w:rsidRPr="001D74B9">
        <w:rPr>
          <w:lang w:val="en-GB"/>
        </w:rPr>
        <w:t>"</w:t>
      </w:r>
      <w:r w:rsidRPr="001D74B9">
        <w:rPr>
          <w:b/>
          <w:bCs/>
          <w:iCs/>
          <w:lang w:val="en-GB"/>
        </w:rPr>
        <w:t>to ensure adequate and effective involvement of the social partners and stakeholders in the policy-making process</w:t>
      </w:r>
      <w:r w:rsidR="00A668CC" w:rsidRPr="001D74B9">
        <w:rPr>
          <w:b/>
          <w:bCs/>
          <w:iCs/>
          <w:lang w:val="en-GB"/>
        </w:rPr>
        <w:t>"</w:t>
      </w:r>
      <w:r w:rsidRPr="001D74B9">
        <w:rPr>
          <w:b/>
          <w:bCs/>
          <w:iCs/>
          <w:lang w:val="en-GB"/>
        </w:rPr>
        <w:t>.</w:t>
      </w:r>
      <w:r w:rsidR="00817C8A" w:rsidRPr="001D74B9">
        <w:rPr>
          <w:b/>
          <w:bCs/>
          <w:iCs/>
          <w:lang w:val="en-GB"/>
        </w:rPr>
        <w:t xml:space="preserve"> </w:t>
      </w:r>
      <w:r w:rsidR="00817C8A" w:rsidRPr="001D74B9">
        <w:rPr>
          <w:bCs/>
          <w:iCs/>
          <w:lang w:val="en-GB"/>
        </w:rPr>
        <w:t xml:space="preserve">The EESC </w:t>
      </w:r>
      <w:r w:rsidR="00166902" w:rsidRPr="001D74B9">
        <w:rPr>
          <w:bCs/>
          <w:iCs/>
          <w:lang w:val="en-GB"/>
        </w:rPr>
        <w:t>calls on</w:t>
      </w:r>
      <w:r w:rsidR="00817C8A" w:rsidRPr="001D74B9">
        <w:rPr>
          <w:bCs/>
          <w:iCs/>
          <w:lang w:val="en-GB"/>
        </w:rPr>
        <w:t xml:space="preserve"> the Commission to closely monitor and evaluate the implementation of the CSRs for these countries.</w:t>
      </w:r>
    </w:p>
    <w:p w14:paraId="14D35EFE" w14:textId="77777777" w:rsidR="00AD38C7" w:rsidRPr="001D74B9" w:rsidRDefault="00AD38C7">
      <w:pPr>
        <w:pStyle w:val="Heading2"/>
        <w:numPr>
          <w:ilvl w:val="0"/>
          <w:numId w:val="0"/>
        </w:numPr>
        <w:rPr>
          <w:lang w:val="en-GB"/>
        </w:rPr>
      </w:pPr>
    </w:p>
    <w:p w14:paraId="0BEFF3DE" w14:textId="77777777" w:rsidR="00AD38C7" w:rsidRPr="001D74B9" w:rsidRDefault="00AC0C54">
      <w:pPr>
        <w:pStyle w:val="Heading2"/>
        <w:rPr>
          <w:lang w:val="en-GB"/>
        </w:rPr>
      </w:pPr>
      <w:r w:rsidRPr="001D74B9">
        <w:rPr>
          <w:lang w:val="en-GB"/>
        </w:rPr>
        <w:t>The Commission should ensure and monitor that</w:t>
      </w:r>
      <w:r w:rsidR="00A668CC" w:rsidRPr="001D74B9">
        <w:rPr>
          <w:lang w:val="en-GB"/>
        </w:rPr>
        <w:t xml:space="preserve"> </w:t>
      </w:r>
      <w:r w:rsidRPr="001D74B9">
        <w:rPr>
          <w:lang w:val="en-GB"/>
        </w:rPr>
        <w:t>– for example through reporting instruments</w:t>
      </w:r>
      <w:r w:rsidR="00A668CC" w:rsidRPr="001D74B9">
        <w:rPr>
          <w:lang w:val="en-GB"/>
        </w:rPr>
        <w:t xml:space="preserve"> –</w:t>
      </w:r>
      <w:r w:rsidRPr="001D74B9">
        <w:rPr>
          <w:lang w:val="en-GB"/>
        </w:rPr>
        <w:t xml:space="preserve"> </w:t>
      </w:r>
      <w:r w:rsidR="00A668CC" w:rsidRPr="001D74B9">
        <w:rPr>
          <w:lang w:val="en-GB"/>
        </w:rPr>
        <w:t xml:space="preserve">the </w:t>
      </w:r>
      <w:r w:rsidRPr="001D74B9">
        <w:rPr>
          <w:lang w:val="en-GB"/>
        </w:rPr>
        <w:t xml:space="preserve">Member States carry out an effective social dialogue with national stakeholders throughout the Semester process </w:t>
      </w:r>
      <w:r w:rsidR="00157C2A" w:rsidRPr="001D74B9">
        <w:rPr>
          <w:lang w:val="en-GB"/>
        </w:rPr>
        <w:t xml:space="preserve">and in the design of national </w:t>
      </w:r>
      <w:r w:rsidR="00166902" w:rsidRPr="001D74B9">
        <w:rPr>
          <w:lang w:val="en-GB"/>
        </w:rPr>
        <w:t>r</w:t>
      </w:r>
      <w:r w:rsidR="00157C2A" w:rsidRPr="001D74B9">
        <w:rPr>
          <w:lang w:val="en-GB"/>
        </w:rPr>
        <w:t xml:space="preserve">ecovery plans </w:t>
      </w:r>
      <w:r w:rsidRPr="001D74B9">
        <w:rPr>
          <w:lang w:val="en-GB"/>
        </w:rPr>
        <w:t>to ensure effective follow-up and implementation, based on broad ownership.</w:t>
      </w:r>
    </w:p>
    <w:p w14:paraId="0F6B4AF7" w14:textId="77777777" w:rsidR="00AD38C7" w:rsidRPr="001D74B9" w:rsidRDefault="00AD38C7">
      <w:pPr>
        <w:pStyle w:val="Heading2"/>
        <w:numPr>
          <w:ilvl w:val="0"/>
          <w:numId w:val="0"/>
        </w:numPr>
        <w:ind w:left="567"/>
        <w:rPr>
          <w:lang w:val="en-GB"/>
        </w:rPr>
      </w:pPr>
    </w:p>
    <w:p w14:paraId="2227ABDE" w14:textId="77777777" w:rsidR="00D40469" w:rsidRPr="001D74B9" w:rsidRDefault="0026512C" w:rsidP="00E55C06">
      <w:pPr>
        <w:pStyle w:val="Heading2"/>
        <w:keepNext/>
        <w:numPr>
          <w:ilvl w:val="0"/>
          <w:numId w:val="0"/>
        </w:numPr>
        <w:ind w:left="567" w:hanging="567"/>
        <w:rPr>
          <w:lang w:val="en-GB"/>
        </w:rPr>
      </w:pPr>
      <w:r w:rsidRPr="001D74B9">
        <w:rPr>
          <w:lang w:val="en-GB"/>
        </w:rPr>
        <w:t xml:space="preserve">6.15 </w:t>
      </w:r>
      <w:r w:rsidRPr="001D74B9">
        <w:rPr>
          <w:lang w:val="en-GB"/>
        </w:rPr>
        <w:tab/>
      </w:r>
      <w:r w:rsidR="00AC0C54" w:rsidRPr="001D74B9">
        <w:rPr>
          <w:lang w:val="en-GB"/>
        </w:rPr>
        <w:t xml:space="preserve">It is also of utmost importance </w:t>
      </w:r>
      <w:r w:rsidR="00AC0C54" w:rsidRPr="001D74B9">
        <w:rPr>
          <w:b/>
          <w:bCs/>
          <w:lang w:val="en-GB"/>
        </w:rPr>
        <w:t xml:space="preserve">to guarantee that the capacity of </w:t>
      </w:r>
      <w:r w:rsidR="00A668CC" w:rsidRPr="001D74B9">
        <w:rPr>
          <w:b/>
          <w:bCs/>
          <w:lang w:val="en-GB"/>
        </w:rPr>
        <w:t xml:space="preserve">the </w:t>
      </w:r>
      <w:r w:rsidR="00AC0C54" w:rsidRPr="001D74B9">
        <w:rPr>
          <w:b/>
          <w:bCs/>
          <w:lang w:val="en-GB"/>
        </w:rPr>
        <w:t>social partners will not be undermined as a result of the corona period</w:t>
      </w:r>
      <w:r w:rsidR="00AC0C54" w:rsidRPr="001D74B9">
        <w:rPr>
          <w:lang w:val="en-GB"/>
        </w:rPr>
        <w:t xml:space="preserve">. The EU should consider any necessary action including financial resources to support </w:t>
      </w:r>
      <w:r w:rsidR="00A668CC" w:rsidRPr="001D74B9">
        <w:rPr>
          <w:lang w:val="en-GB"/>
        </w:rPr>
        <w:t xml:space="preserve">the </w:t>
      </w:r>
      <w:r w:rsidR="00AC0C54" w:rsidRPr="001D74B9">
        <w:rPr>
          <w:lang w:val="en-GB"/>
        </w:rPr>
        <w:t>social partners</w:t>
      </w:r>
      <w:r w:rsidR="00A668CC" w:rsidRPr="001D74B9">
        <w:rPr>
          <w:lang w:val="en-GB"/>
        </w:rPr>
        <w:t>'</w:t>
      </w:r>
      <w:r w:rsidR="00AC0C54" w:rsidRPr="001D74B9">
        <w:rPr>
          <w:lang w:val="en-GB"/>
        </w:rPr>
        <w:t xml:space="preserve"> capacity building</w:t>
      </w:r>
      <w:r w:rsidR="00CA4344" w:rsidRPr="001D74B9">
        <w:rPr>
          <w:lang w:val="en-GB"/>
        </w:rPr>
        <w:t xml:space="preserve"> - both for activities and structures of social dialogue</w:t>
      </w:r>
      <w:r w:rsidR="00BC04AF" w:rsidRPr="001D74B9">
        <w:rPr>
          <w:lang w:val="en-GB"/>
        </w:rPr>
        <w:t>.</w:t>
      </w:r>
      <w:r w:rsidR="00B36C16" w:rsidRPr="001D74B9">
        <w:rPr>
          <w:lang w:val="en-GB"/>
        </w:rPr>
        <w:t xml:space="preserve"> </w:t>
      </w:r>
      <w:r w:rsidR="00B36C16" w:rsidRPr="001D74B9">
        <w:rPr>
          <w:bCs/>
          <w:lang w:val="en-GB"/>
        </w:rPr>
        <w:t>The European Social Partners have addressed a joint proposal</w:t>
      </w:r>
      <w:r w:rsidR="00B36C16" w:rsidRPr="001D74B9">
        <w:rPr>
          <w:rStyle w:val="FootnoteReference"/>
          <w:bCs/>
          <w:lang w:val="en-GB"/>
        </w:rPr>
        <w:footnoteReference w:id="54"/>
      </w:r>
      <w:r w:rsidR="00B36C16" w:rsidRPr="001D74B9">
        <w:rPr>
          <w:bCs/>
          <w:lang w:val="en-GB"/>
        </w:rPr>
        <w:t xml:space="preserve"> to the European Commission on creating a new financial instrument to support the extraordinary activities they are carrying out during the COVID-19 crisis</w:t>
      </w:r>
      <w:r w:rsidR="00AC0C54" w:rsidRPr="001D74B9">
        <w:rPr>
          <w:lang w:val="en-GB"/>
        </w:rPr>
        <w:t>.</w:t>
      </w:r>
    </w:p>
    <w:p w14:paraId="7D0FF742" w14:textId="77777777" w:rsidR="00D40469" w:rsidRPr="001D74B9" w:rsidRDefault="00D40469" w:rsidP="00E55C06">
      <w:pPr>
        <w:keepNext/>
        <w:rPr>
          <w:lang w:val="en-GB"/>
        </w:rPr>
      </w:pPr>
    </w:p>
    <w:p w14:paraId="688DA41F" w14:textId="77777777" w:rsidR="00D40469" w:rsidRPr="00971383" w:rsidRDefault="00D40469" w:rsidP="00E55C06">
      <w:pPr>
        <w:keepNext/>
        <w:rPr>
          <w:lang w:val="en-GB"/>
        </w:rPr>
      </w:pPr>
      <w:r w:rsidRPr="00971383">
        <w:rPr>
          <w:lang w:val="en-GB"/>
        </w:rPr>
        <w:t xml:space="preserve">Brussels, </w:t>
      </w:r>
      <w:r w:rsidR="00A71F21" w:rsidRPr="00971383">
        <w:rPr>
          <w:lang w:val="en-GB"/>
        </w:rPr>
        <w:t>29</w:t>
      </w:r>
      <w:r w:rsidRPr="00971383">
        <w:rPr>
          <w:lang w:val="en-GB"/>
        </w:rPr>
        <w:t xml:space="preserve"> </w:t>
      </w:r>
      <w:r w:rsidR="00A064EB" w:rsidRPr="00971383">
        <w:rPr>
          <w:lang w:val="en-GB"/>
        </w:rPr>
        <w:t xml:space="preserve">October </w:t>
      </w:r>
      <w:r w:rsidRPr="00971383">
        <w:rPr>
          <w:lang w:val="en-GB"/>
        </w:rPr>
        <w:t>2020</w:t>
      </w:r>
    </w:p>
    <w:p w14:paraId="1CDE30ED" w14:textId="77777777" w:rsidR="00D40469" w:rsidRPr="00971383" w:rsidRDefault="00D40469">
      <w:pPr>
        <w:rPr>
          <w:lang w:val="en-GB"/>
        </w:rPr>
      </w:pPr>
    </w:p>
    <w:p w14:paraId="1307AAA6" w14:textId="77777777" w:rsidR="00D40469" w:rsidRPr="00971383" w:rsidRDefault="00D40469">
      <w:pPr>
        <w:rPr>
          <w:lang w:val="en-GB"/>
        </w:rPr>
      </w:pPr>
    </w:p>
    <w:p w14:paraId="282A5EC6" w14:textId="77777777" w:rsidR="00D40469" w:rsidRPr="00971383" w:rsidRDefault="00D40469" w:rsidP="00E55C06">
      <w:pPr>
        <w:keepNext/>
        <w:rPr>
          <w:lang w:val="en-GB"/>
        </w:rPr>
      </w:pPr>
    </w:p>
    <w:p w14:paraId="7C829BCE" w14:textId="77777777" w:rsidR="00D40469" w:rsidRPr="00971383" w:rsidRDefault="00D40469" w:rsidP="00E55C06">
      <w:pPr>
        <w:keepNext/>
        <w:jc w:val="left"/>
        <w:rPr>
          <w:lang w:val="en-GB"/>
        </w:rPr>
      </w:pPr>
    </w:p>
    <w:p w14:paraId="39A031C9" w14:textId="77777777" w:rsidR="00D40469" w:rsidRPr="00971383" w:rsidRDefault="00D40469" w:rsidP="00E55C06">
      <w:pPr>
        <w:keepNext/>
        <w:jc w:val="left"/>
        <w:rPr>
          <w:lang w:val="en-GB"/>
        </w:rPr>
      </w:pPr>
      <w:r w:rsidRPr="00971383">
        <w:rPr>
          <w:lang w:val="en-GB"/>
        </w:rPr>
        <w:t xml:space="preserve">Christa </w:t>
      </w:r>
      <w:r w:rsidR="001420C3" w:rsidRPr="00971383">
        <w:rPr>
          <w:lang w:val="en-GB"/>
        </w:rPr>
        <w:t>SCHWENG</w:t>
      </w:r>
      <w:r w:rsidRPr="00971383">
        <w:rPr>
          <w:lang w:val="en-GB"/>
        </w:rPr>
        <w:br/>
        <w:t xml:space="preserve">The </w:t>
      </w:r>
      <w:r w:rsidR="004740EF" w:rsidRPr="00971383">
        <w:rPr>
          <w:lang w:val="en-GB"/>
        </w:rPr>
        <w:t>p</w:t>
      </w:r>
      <w:r w:rsidRPr="00971383">
        <w:rPr>
          <w:lang w:val="en-GB"/>
        </w:rPr>
        <w:t xml:space="preserve">resident of the </w:t>
      </w:r>
      <w:r w:rsidR="00E833D1" w:rsidRPr="00971383">
        <w:rPr>
          <w:lang w:val="en-GB"/>
        </w:rPr>
        <w:t>European Economic and Social Committee</w:t>
      </w:r>
    </w:p>
    <w:p w14:paraId="51A2C0EA" w14:textId="77777777" w:rsidR="00DF1431" w:rsidRPr="001D74B9" w:rsidRDefault="00DF1431" w:rsidP="00816429">
      <w:pPr>
        <w:jc w:val="left"/>
        <w:rPr>
          <w:lang w:val="en-GB"/>
        </w:rPr>
      </w:pPr>
    </w:p>
    <w:p w14:paraId="6BCFA320" w14:textId="77777777" w:rsidR="00646AC2" w:rsidRPr="001D74B9" w:rsidRDefault="00646AC2" w:rsidP="00CD407F">
      <w:pPr>
        <w:ind w:left="567" w:hanging="567"/>
        <w:jc w:val="center"/>
        <w:rPr>
          <w:lang w:val="en-GB"/>
        </w:rPr>
      </w:pPr>
      <w:r w:rsidRPr="001D74B9">
        <w:rPr>
          <w:lang w:val="en-GB"/>
        </w:rPr>
        <w:t>_____________</w:t>
      </w:r>
    </w:p>
    <w:sectPr w:rsidR="00646AC2" w:rsidRPr="001D74B9" w:rsidSect="00931640">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C155" w14:textId="77777777" w:rsidR="00AE0CBA" w:rsidRDefault="00AE0CBA">
      <w:r>
        <w:separator/>
      </w:r>
    </w:p>
  </w:endnote>
  <w:endnote w:type="continuationSeparator" w:id="0">
    <w:p w14:paraId="2644C64D" w14:textId="77777777" w:rsidR="00AE0CBA" w:rsidRDefault="00AE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208B" w14:textId="77777777" w:rsidR="00931640" w:rsidRPr="00931640" w:rsidRDefault="00931640" w:rsidP="00931640">
    <w:pPr>
      <w:pStyle w:val="Footer"/>
    </w:pPr>
    <w:r>
      <w:t xml:space="preserve">SOC/644 – EESC-2020-01913-00-00-AC-TRA (EN) </w:t>
    </w:r>
    <w:r>
      <w:fldChar w:fldCharType="begin"/>
    </w:r>
    <w:r>
      <w:instrText xml:space="preserve"> PAGE  \* Arabic  \* MERGEFORMAT </w:instrText>
    </w:r>
    <w:r>
      <w:fldChar w:fldCharType="separate"/>
    </w:r>
    <w:r w:rsidR="007C4372">
      <w:rPr>
        <w:noProof/>
      </w:rPr>
      <w:t>1</w:t>
    </w:r>
    <w:r>
      <w:fldChar w:fldCharType="end"/>
    </w:r>
    <w:r>
      <w:t>/</w:t>
    </w:r>
    <w:r>
      <w:fldChar w:fldCharType="begin"/>
    </w:r>
    <w:r>
      <w:instrText xml:space="preserve"> NUMPAGES </w:instrText>
    </w:r>
    <w:r>
      <w:fldChar w:fldCharType="separate"/>
    </w:r>
    <w:r w:rsidR="007C437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8EE6" w14:textId="77777777" w:rsidR="00AE36BD" w:rsidRPr="00931640" w:rsidRDefault="00AE36BD" w:rsidP="00931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99E0" w14:textId="77777777" w:rsidR="00AE36BD" w:rsidRPr="00931640" w:rsidRDefault="00931640" w:rsidP="00931640">
    <w:pPr>
      <w:pStyle w:val="Footer"/>
    </w:pPr>
    <w:r>
      <w:t xml:space="preserve">SOC/644 – EESC-2020-01913-00-00-AC-TRA (EN) </w:t>
    </w:r>
    <w:r>
      <w:fldChar w:fldCharType="begin"/>
    </w:r>
    <w:r>
      <w:instrText xml:space="preserve"> PAGE  \* Arabic  \* MERGEFORMAT </w:instrText>
    </w:r>
    <w:r>
      <w:fldChar w:fldCharType="separate"/>
    </w:r>
    <w:r w:rsidR="007C4372">
      <w:rPr>
        <w:noProof/>
      </w:rPr>
      <w:t>18</w:t>
    </w:r>
    <w:r>
      <w:fldChar w:fldCharType="end"/>
    </w:r>
    <w:r>
      <w:t>/</w:t>
    </w:r>
    <w:r>
      <w:fldChar w:fldCharType="begin"/>
    </w:r>
    <w:r>
      <w:instrText xml:space="preserve"> NUMPAGES </w:instrText>
    </w:r>
    <w:r>
      <w:fldChar w:fldCharType="separate"/>
    </w:r>
    <w:r w:rsidR="007C4372">
      <w:rPr>
        <w:noProof/>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C5B1" w14:textId="77777777" w:rsidR="00AE36BD" w:rsidRPr="00931640" w:rsidRDefault="00AE36BD" w:rsidP="00931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D172" w14:textId="77777777" w:rsidR="00AE0CBA" w:rsidRDefault="00AE0CBA">
      <w:r>
        <w:separator/>
      </w:r>
    </w:p>
  </w:footnote>
  <w:footnote w:type="continuationSeparator" w:id="0">
    <w:p w14:paraId="445ADA74" w14:textId="77777777" w:rsidR="00AE0CBA" w:rsidRDefault="00AE0CBA">
      <w:r>
        <w:continuationSeparator/>
      </w:r>
    </w:p>
  </w:footnote>
  <w:footnote w:id="1">
    <w:p w14:paraId="6C7B7E63"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 xml:space="preserve">The word </w:t>
      </w:r>
      <w:r w:rsidR="00935F76">
        <w:rPr>
          <w:lang w:val="en-GB"/>
        </w:rPr>
        <w:t>"</w:t>
      </w:r>
      <w:r w:rsidRPr="001A1F0B">
        <w:rPr>
          <w:lang w:val="en-GB"/>
        </w:rPr>
        <w:t>stakeholders</w:t>
      </w:r>
      <w:r w:rsidR="00935F76">
        <w:rPr>
          <w:lang w:val="en-GB"/>
        </w:rPr>
        <w:t>"</w:t>
      </w:r>
      <w:r w:rsidRPr="001A1F0B">
        <w:rPr>
          <w:lang w:val="en-GB"/>
        </w:rPr>
        <w:t xml:space="preserve"> refers to the social partners (employers and trade unions). With regard to tripartite social dialogue, it also includes governments.</w:t>
      </w:r>
    </w:p>
  </w:footnote>
  <w:footnote w:id="2">
    <w:p w14:paraId="58AC8B88"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i/>
          <w:szCs w:val="16"/>
          <w:lang w:val="en-GB"/>
        </w:rPr>
        <w:t>ILO Declaration on Social Justice for a Fair Globalization</w:t>
      </w:r>
      <w:r w:rsidRPr="001A1F0B">
        <w:rPr>
          <w:szCs w:val="16"/>
          <w:lang w:val="en-GB"/>
        </w:rPr>
        <w:t xml:space="preserve">, ILC, 2008; </w:t>
      </w:r>
      <w:r w:rsidRPr="001A1F0B">
        <w:rPr>
          <w:i/>
          <w:szCs w:val="16"/>
          <w:lang w:val="en-GB"/>
        </w:rPr>
        <w:t>ILO Resolution concerning the Recurrent Discussion on social dialogue</w:t>
      </w:r>
      <w:r w:rsidRPr="001A1F0B">
        <w:rPr>
          <w:szCs w:val="16"/>
          <w:lang w:val="en-GB"/>
        </w:rPr>
        <w:t xml:space="preserve">, adopted at the ILC on 13 June, 2013; </w:t>
      </w:r>
      <w:r w:rsidRPr="001A1F0B">
        <w:rPr>
          <w:i/>
          <w:szCs w:val="16"/>
          <w:lang w:val="en-GB"/>
        </w:rPr>
        <w:t>ILO Resolution concerning the second recurrent discussion on social dialogue and tripartism</w:t>
      </w:r>
      <w:r w:rsidRPr="001A1F0B">
        <w:rPr>
          <w:szCs w:val="16"/>
          <w:lang w:val="en-GB"/>
        </w:rPr>
        <w:t>, adopted at the ILC on 8 June, 2018. See also ILO Centenary Declaration for the Future of Work adopted at the ILC, 108</w:t>
      </w:r>
      <w:r w:rsidRPr="001A1F0B">
        <w:rPr>
          <w:szCs w:val="16"/>
          <w:vertAlign w:val="superscript"/>
          <w:lang w:val="en-GB"/>
        </w:rPr>
        <w:t>th</w:t>
      </w:r>
      <w:r w:rsidRPr="001A1F0B">
        <w:rPr>
          <w:szCs w:val="16"/>
          <w:lang w:val="en-GB"/>
        </w:rPr>
        <w:t xml:space="preserve"> Session, 2019.</w:t>
      </w:r>
    </w:p>
  </w:footnote>
  <w:footnote w:id="3">
    <w:p w14:paraId="6E71CC13"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Ibid, ILO Resolution 2018; </w:t>
      </w:r>
      <w:r w:rsidRPr="001A1F0B">
        <w:rPr>
          <w:i/>
          <w:szCs w:val="16"/>
          <w:lang w:val="en-GB"/>
        </w:rPr>
        <w:t>Conclusions of the general discussion on Decent work in global supply chains</w:t>
      </w:r>
      <w:r w:rsidRPr="001A1F0B">
        <w:rPr>
          <w:szCs w:val="16"/>
          <w:lang w:val="en-GB"/>
        </w:rPr>
        <w:t>, June 2016.</w:t>
      </w:r>
    </w:p>
  </w:footnote>
  <w:footnote w:id="4">
    <w:p w14:paraId="1EAEF5C8"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r w:rsidRPr="00E11612">
        <w:rPr>
          <w:lang w:val="en-GB"/>
        </w:rPr>
        <w:t>Recent OECD studies Employment Outlook 2019 and Going Digital: Shaping Policies, Improving lives Report 2019.</w:t>
      </w:r>
    </w:p>
  </w:footnote>
  <w:footnote w:id="5">
    <w:p w14:paraId="3917BD51"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 xml:space="preserve">In </w:t>
      </w:r>
      <w:r w:rsidRPr="00E11612">
        <w:rPr>
          <w:lang w:val="en-GB"/>
        </w:rPr>
        <w:t>CSRs on several EU countries, the EC asks for specific interventions to remove obstacles to collective bargaining and social dialogue.</w:t>
      </w:r>
    </w:p>
  </w:footnote>
  <w:footnote w:id="6">
    <w:p w14:paraId="5EC6A716"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It is important to note that ILO Convention No. 144 on Tripartite Consultation has been ratified by 26 EU countries, in Croatia it will enter into force </w:t>
      </w:r>
      <w:r w:rsidR="003078E4">
        <w:rPr>
          <w:szCs w:val="16"/>
          <w:lang w:val="en-GB"/>
        </w:rPr>
        <w:t xml:space="preserve">in </w:t>
      </w:r>
      <w:r w:rsidRPr="001A1F0B">
        <w:rPr>
          <w:szCs w:val="16"/>
          <w:lang w:val="en-GB"/>
        </w:rPr>
        <w:t>Feb</w:t>
      </w:r>
      <w:r w:rsidR="003078E4">
        <w:rPr>
          <w:szCs w:val="16"/>
          <w:lang w:val="en-GB"/>
        </w:rPr>
        <w:t>ruary 20</w:t>
      </w:r>
      <w:r w:rsidRPr="001A1F0B">
        <w:rPr>
          <w:szCs w:val="16"/>
          <w:lang w:val="en-GB"/>
        </w:rPr>
        <w:t>21, but Luxembourg has not ratified</w:t>
      </w:r>
      <w:r w:rsidR="003078E4">
        <w:rPr>
          <w:szCs w:val="16"/>
          <w:lang w:val="en-GB"/>
        </w:rPr>
        <w:t xml:space="preserve"> it</w:t>
      </w:r>
      <w:r w:rsidRPr="001A1F0B">
        <w:rPr>
          <w:szCs w:val="16"/>
          <w:lang w:val="en-GB"/>
        </w:rPr>
        <w:t>.</w:t>
      </w:r>
    </w:p>
  </w:footnote>
  <w:footnote w:id="7">
    <w:p w14:paraId="0604EEF5"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hyperlink r:id="rId1" w:history="1">
        <w:r w:rsidR="0066062F" w:rsidRPr="0066062F">
          <w:rPr>
            <w:rStyle w:val="Hyperlink"/>
            <w:lang w:val="en-GB"/>
          </w:rPr>
          <w:t>OJ C 125, 21.4.2017, p. 10</w:t>
        </w:r>
      </w:hyperlink>
      <w:r w:rsidR="004740EF" w:rsidRPr="00816429">
        <w:t>.</w:t>
      </w:r>
    </w:p>
  </w:footnote>
  <w:footnote w:id="8">
    <w:p w14:paraId="064FD911"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Eurofound</w:t>
      </w:r>
      <w:r w:rsidR="003B6451">
        <w:rPr>
          <w:szCs w:val="16"/>
          <w:lang w:val="en-GB"/>
        </w:rPr>
        <w:t xml:space="preserve"> (2020)</w:t>
      </w:r>
      <w:r w:rsidRPr="001A1F0B">
        <w:rPr>
          <w:szCs w:val="16"/>
          <w:lang w:val="en-GB"/>
        </w:rPr>
        <w:t xml:space="preserve"> </w:t>
      </w:r>
      <w:r w:rsidRPr="001A1F0B">
        <w:rPr>
          <w:i/>
          <w:szCs w:val="16"/>
          <w:lang w:val="en-GB"/>
        </w:rPr>
        <w:t>Capacity building</w:t>
      </w:r>
      <w:r w:rsidR="003B6451">
        <w:rPr>
          <w:i/>
          <w:szCs w:val="16"/>
          <w:lang w:val="en-GB"/>
        </w:rPr>
        <w:t xml:space="preserve"> for</w:t>
      </w:r>
      <w:r w:rsidRPr="001A1F0B">
        <w:rPr>
          <w:i/>
          <w:szCs w:val="16"/>
          <w:lang w:val="en-GB"/>
        </w:rPr>
        <w:t xml:space="preserve"> effective social dialogue</w:t>
      </w:r>
      <w:r w:rsidR="00552F21">
        <w:rPr>
          <w:i/>
          <w:szCs w:val="16"/>
          <w:lang w:val="en-GB"/>
        </w:rPr>
        <w:t xml:space="preserve"> in the European Union</w:t>
      </w:r>
      <w:r w:rsidRPr="001A1F0B">
        <w:rPr>
          <w:szCs w:val="16"/>
          <w:lang w:val="en-GB"/>
        </w:rPr>
        <w:t>.</w:t>
      </w:r>
    </w:p>
  </w:footnote>
  <w:footnote w:id="9">
    <w:p w14:paraId="40470D29"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Articles 151 to 155 of the TFEU.</w:t>
      </w:r>
    </w:p>
  </w:footnote>
  <w:footnote w:id="10">
    <w:p w14:paraId="00D0A947"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hyperlink r:id="rId2" w:history="1">
        <w:r w:rsidR="0066062F" w:rsidRPr="0066062F">
          <w:rPr>
            <w:rStyle w:val="Hyperlink"/>
            <w:lang w:val="en-GB"/>
          </w:rPr>
          <w:t>OJ C 232, 14.7.2020, p. 18</w:t>
        </w:r>
      </w:hyperlink>
      <w:r w:rsidR="004740EF" w:rsidRPr="00816429">
        <w:t>.</w:t>
      </w:r>
    </w:p>
  </w:footnote>
  <w:footnote w:id="11">
    <w:p w14:paraId="5FFAB1ED"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First concluded in 1996, it was then revised in 2009. It was transposed by Council Directive 2010/18/EU.</w:t>
      </w:r>
    </w:p>
  </w:footnote>
  <w:footnote w:id="12">
    <w:p w14:paraId="2F88C696"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Transposed by Council Directive 97/81/EC.</w:t>
      </w:r>
    </w:p>
  </w:footnote>
  <w:footnote w:id="13">
    <w:p w14:paraId="2D37469B"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Transposed by Council Directive 99/70/EC.</w:t>
      </w:r>
    </w:p>
  </w:footnote>
  <w:footnote w:id="14">
    <w:p w14:paraId="3C9C612E"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On telework (2002), work-related stress (2004), harassment and violence at work (2007), inclusive labour markets (2010) and active ageing and an inter-generational approach (2017), digitalisation (2020).</w:t>
      </w:r>
    </w:p>
  </w:footnote>
  <w:footnote w:id="15">
    <w:p w14:paraId="5648F661"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On lifelong development of competencies and qualifications (2002), gender equality (2005) and youth employment (2013).</w:t>
      </w:r>
    </w:p>
  </w:footnote>
  <w:footnote w:id="16">
    <w:p w14:paraId="4820CAD1"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rFonts w:eastAsiaTheme="minorHAnsi"/>
          <w:szCs w:val="16"/>
          <w:lang w:val="en-GB"/>
        </w:rPr>
        <w:t>The 2019-2021 Work Programme addresses the six following priorities: digitalisation, improving the performance</w:t>
      </w:r>
      <w:r w:rsidRPr="001A1F0B">
        <w:rPr>
          <w:szCs w:val="16"/>
          <w:lang w:val="en-GB"/>
        </w:rPr>
        <w:t xml:space="preserve"> of labour markets and social systems skills, addressing psycho-social aspects and risks at work, capacity-building for a stronger social dialogue circular economy.</w:t>
      </w:r>
    </w:p>
  </w:footnote>
  <w:footnote w:id="17">
    <w:p w14:paraId="2D119D20"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The quadripartite statement is available at </w:t>
      </w:r>
      <w:hyperlink r:id="rId3" w:history="1">
        <w:r w:rsidRPr="001A1F0B">
          <w:rPr>
            <w:rStyle w:val="Hyperlink"/>
            <w:szCs w:val="16"/>
            <w:lang w:val="en-GB"/>
          </w:rPr>
          <w:t>https://ec.europa.eu/social/main.jsp?langId=en&amp;catId=89&amp;newsId=2562</w:t>
        </w:r>
      </w:hyperlink>
    </w:p>
  </w:footnote>
  <w:footnote w:id="18">
    <w:p w14:paraId="17C5AF5E"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Commission Decision 98/500/EC of 20 May 1998 on the establishment of Sectoral Dialogue Committees promoting the Dialogue between the social partners at European level, available at </w:t>
      </w:r>
      <w:hyperlink r:id="rId4" w:history="1">
        <w:r w:rsidRPr="001A1F0B">
          <w:rPr>
            <w:rStyle w:val="Hyperlink"/>
            <w:szCs w:val="16"/>
            <w:lang w:val="en-GB"/>
          </w:rPr>
          <w:t>http://eur-lex.europa.eu/LexUriServ/LexUriServ.do?uri=OJ:L:1998:225:0027:0028:EN:PDF</w:t>
        </w:r>
      </w:hyperlink>
    </w:p>
  </w:footnote>
  <w:footnote w:id="19">
    <w:p w14:paraId="15E55B5A" w14:textId="77777777" w:rsidR="00AE36BD" w:rsidRPr="001A1F0B" w:rsidRDefault="00AE36BD" w:rsidP="00571925">
      <w:pPr>
        <w:pStyle w:val="FootnoteText"/>
        <w:rPr>
          <w:lang w:val="en-GB"/>
        </w:rPr>
      </w:pPr>
      <w:r w:rsidRPr="001A1F0B">
        <w:rPr>
          <w:rStyle w:val="FootnoteReference"/>
          <w:lang w:val="en-GB"/>
        </w:rPr>
        <w:footnoteRef/>
      </w:r>
      <w:r w:rsidRPr="001A1F0B">
        <w:rPr>
          <w:lang w:val="en-GB"/>
        </w:rPr>
        <w:t xml:space="preserve"> </w:t>
      </w:r>
      <w:r w:rsidRPr="001A1F0B">
        <w:rPr>
          <w:lang w:val="en-GB"/>
        </w:rPr>
        <w:tab/>
        <w:t>Such as transport, energy, agriculture, construction, trade, metal, shipyards and education, insurance and banking.</w:t>
      </w:r>
    </w:p>
  </w:footnote>
  <w:footnote w:id="20">
    <w:p w14:paraId="1AEE59FF" w14:textId="77777777" w:rsidR="00AE36BD" w:rsidRPr="001A1F0B" w:rsidRDefault="00AE36BD">
      <w:pPr>
        <w:pStyle w:val="FootnoteText"/>
        <w:rPr>
          <w:lang w:val="en-GB"/>
        </w:rPr>
      </w:pPr>
      <w:r w:rsidRPr="001A1F0B">
        <w:rPr>
          <w:rStyle w:val="FootnoteReference"/>
          <w:lang w:val="en-GB"/>
        </w:rPr>
        <w:footnoteRef/>
      </w:r>
      <w:r w:rsidRPr="001A1F0B">
        <w:rPr>
          <w:lang w:val="en-GB"/>
        </w:rPr>
        <w:tab/>
      </w:r>
      <w:r w:rsidRPr="001A1F0B">
        <w:rPr>
          <w:szCs w:val="16"/>
          <w:lang w:val="en-GB"/>
        </w:rPr>
        <w:t xml:space="preserve">Kerckhofs, </w:t>
      </w:r>
      <w:r w:rsidRPr="001A1F0B">
        <w:rPr>
          <w:i/>
          <w:iCs/>
          <w:szCs w:val="16"/>
          <w:lang w:val="en-GB"/>
        </w:rPr>
        <w:t>European sectoral social dialogue: facts and figures</w:t>
      </w:r>
      <w:r w:rsidRPr="001A1F0B">
        <w:rPr>
          <w:szCs w:val="16"/>
          <w:lang w:val="en-GB"/>
        </w:rPr>
        <w:t xml:space="preserve">, EuroFound (2019), available at </w:t>
      </w:r>
      <w:hyperlink r:id="rId5" w:history="1">
        <w:r w:rsidRPr="001A1F0B">
          <w:rPr>
            <w:rStyle w:val="Hyperlink"/>
            <w:szCs w:val="16"/>
            <w:lang w:val="en-GB"/>
          </w:rPr>
          <w:t>https://www.eurofound.europa.eu/publications/report/2019/european-sectoral-social-dialogue-facts-and-figures</w:t>
        </w:r>
      </w:hyperlink>
    </w:p>
  </w:footnote>
  <w:footnote w:id="21">
    <w:p w14:paraId="44FF5E5C" w14:textId="77777777" w:rsidR="00AE36BD" w:rsidRPr="001A1F0B" w:rsidRDefault="00AE36BD">
      <w:pPr>
        <w:pStyle w:val="FootnoteText"/>
        <w:rPr>
          <w:lang w:val="en-GB"/>
        </w:rPr>
      </w:pPr>
      <w:r w:rsidRPr="001A1F0B">
        <w:rPr>
          <w:rStyle w:val="FootnoteReference"/>
          <w:lang w:val="en-GB"/>
        </w:rPr>
        <w:footnoteRef/>
      </w:r>
      <w:r w:rsidRPr="001A1F0B">
        <w:rPr>
          <w:lang w:val="en-GB"/>
        </w:rPr>
        <w:tab/>
        <w:t xml:space="preserve">See </w:t>
      </w:r>
      <w:r w:rsidR="0026512C">
        <w:rPr>
          <w:lang w:val="en-GB"/>
        </w:rPr>
        <w:t>C</w:t>
      </w:r>
      <w:r w:rsidRPr="001A1F0B">
        <w:rPr>
          <w:lang w:val="en-GB"/>
        </w:rPr>
        <w:t>hapter 5 for specific references.</w:t>
      </w:r>
    </w:p>
  </w:footnote>
  <w:footnote w:id="22">
    <w:p w14:paraId="13D3B748"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The EWCs were first established by Directive 94/45/EC of 22 September 1994 on the establishment of a European Works Council or a procedure in Community-scale undertakings and Community-scale groups of undertakings for the purposes of informing and consulting employees, but are now regulated by the "Recast Directive". </w:t>
      </w:r>
      <w:hyperlink r:id="rId6" w:history="1">
        <w:r w:rsidRPr="001A1F0B">
          <w:rPr>
            <w:rStyle w:val="Hyperlink"/>
            <w:szCs w:val="16"/>
            <w:lang w:val="en-GB"/>
          </w:rPr>
          <w:t>https://eur-lex.europa.eu/legal-content/EN/TXT/?uri=CELEX:02009L0038-20151009</w:t>
        </w:r>
      </w:hyperlink>
      <w:r w:rsidRPr="001A1F0B">
        <w:rPr>
          <w:szCs w:val="16"/>
          <w:lang w:val="en-GB"/>
        </w:rPr>
        <w:t xml:space="preserve"> According to the 2019 Benchmarking Working Europe there were 1 150 EWCs in 2018, mobilising approximately 20 000 employee representatives.</w:t>
      </w:r>
    </w:p>
  </w:footnote>
  <w:footnote w:id="23">
    <w:p w14:paraId="3C2B000D"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ETUC-Business Europe, Final Report - Building on experiences: A win-win approach to transnational industrial relations in multinational companies, 2018.</w:t>
      </w:r>
    </w:p>
  </w:footnote>
  <w:footnote w:id="24">
    <w:p w14:paraId="58ADC3B8"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According to the European Commission, </w:t>
      </w:r>
      <w:r w:rsidRPr="001A1F0B">
        <w:rPr>
          <w:i/>
          <w:iCs/>
          <w:szCs w:val="16"/>
          <w:lang w:val="en-GB"/>
        </w:rPr>
        <w:t>Database on transnational company agreements</w:t>
      </w:r>
      <w:r w:rsidRPr="001A1F0B">
        <w:rPr>
          <w:szCs w:val="16"/>
          <w:lang w:val="en-GB"/>
        </w:rPr>
        <w:t xml:space="preserve">, available at </w:t>
      </w:r>
      <w:hyperlink r:id="rId7" w:history="1">
        <w:r w:rsidRPr="001A1F0B">
          <w:rPr>
            <w:rStyle w:val="Hyperlink"/>
            <w:szCs w:val="16"/>
            <w:lang w:val="en-GB"/>
          </w:rPr>
          <w:t>https://ec.europa.eu/social/main.jsp?catId=978&amp;langId=en</w:t>
        </w:r>
      </w:hyperlink>
    </w:p>
  </w:footnote>
  <w:footnote w:id="25">
    <w:p w14:paraId="1D3A513F" w14:textId="77777777" w:rsidR="00AE36BD" w:rsidRPr="001A1F0B" w:rsidRDefault="00AE36BD" w:rsidP="006F6BA5">
      <w:pPr>
        <w:pStyle w:val="FootnoteText"/>
        <w:jc w:val="left"/>
        <w:rPr>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More detailed information can be found at </w:t>
      </w:r>
      <w:hyperlink r:id="rId8" w:history="1">
        <w:r w:rsidRPr="001A1F0B">
          <w:rPr>
            <w:rStyle w:val="Hyperlink"/>
            <w:szCs w:val="16"/>
            <w:lang w:val="en-GB"/>
          </w:rPr>
          <w:t>https://ec.europa.eu/social/main.jsp?eventsId=1028&amp;catId=88&amp;furtherEvents=yes&amp;langId=en&amp;</w:t>
        </w:r>
      </w:hyperlink>
    </w:p>
  </w:footnote>
  <w:footnote w:id="26">
    <w:p w14:paraId="614BAAD6"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Sustainability and governance, ESDE </w:t>
      </w:r>
      <w:r w:rsidR="0026512C">
        <w:rPr>
          <w:szCs w:val="16"/>
          <w:lang w:val="en-GB"/>
        </w:rPr>
        <w:t>C</w:t>
      </w:r>
      <w:r w:rsidRPr="001A1F0B">
        <w:rPr>
          <w:szCs w:val="16"/>
          <w:lang w:val="en-GB"/>
        </w:rPr>
        <w:t>hapter 6.</w:t>
      </w:r>
    </w:p>
  </w:footnote>
  <w:footnote w:id="27">
    <w:p w14:paraId="2EE5C27D"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The first results of an ILO-EU project on enhancing the social partners and social dialogue were presented in a conference last March and addressed the effectiveness of the national social dialogue institutions and government</w:t>
      </w:r>
      <w:r w:rsidR="00A90B16">
        <w:rPr>
          <w:szCs w:val="16"/>
          <w:lang w:val="en-GB"/>
        </w:rPr>
        <w:t>'</w:t>
      </w:r>
      <w:r w:rsidRPr="001A1F0B">
        <w:rPr>
          <w:szCs w:val="16"/>
          <w:lang w:val="en-GB"/>
        </w:rPr>
        <w:t>s role in encouraging this process.</w:t>
      </w:r>
    </w:p>
  </w:footnote>
  <w:footnote w:id="28">
    <w:p w14:paraId="3F62FAB8"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r w:rsidRPr="00E11612">
        <w:rPr>
          <w:lang w:val="en-GB"/>
        </w:rPr>
        <w:t>A new ILO and EC project aimed at analysing and documenting how the social partners in the EU countries are endeavouring to adapt to these changes, Youcef Ghellab, Daniel.</w:t>
      </w:r>
      <w:r w:rsidR="00503681">
        <w:rPr>
          <w:lang w:val="en-GB"/>
        </w:rPr>
        <w:t xml:space="preserve"> </w:t>
      </w:r>
      <w:r w:rsidRPr="00E11612">
        <w:rPr>
          <w:lang w:val="en-GB"/>
        </w:rPr>
        <w:t>Vaughan-Whitehead.</w:t>
      </w:r>
    </w:p>
  </w:footnote>
  <w:footnote w:id="29">
    <w:p w14:paraId="53393F5B"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hyperlink r:id="rId9" w:history="1">
        <w:r w:rsidRPr="001A1F0B">
          <w:rPr>
            <w:rStyle w:val="Hyperlink"/>
            <w:szCs w:val="16"/>
            <w:lang w:val="en-GB"/>
          </w:rPr>
          <w:t>Interinstitutional proclamation on the European Pillar of Social Rights, (2017/C/428/9)</w:t>
        </w:r>
        <w:r w:rsidRPr="001A1F0B">
          <w:rPr>
            <w:lang w:val="en-GB"/>
          </w:rPr>
          <w:t>.</w:t>
        </w:r>
      </w:hyperlink>
    </w:p>
  </w:footnote>
  <w:footnote w:id="30">
    <w:p w14:paraId="56407015"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See the ETUC Trade Union Involvement Index for the Semester Process, concerning national dialogues in the framework of the Semester.</w:t>
      </w:r>
    </w:p>
  </w:footnote>
  <w:footnote w:id="31">
    <w:p w14:paraId="0118B04C"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Many reports from the Eurofound, the ETUC, the European Commission, EMCO, and OSE confirm that social partners are not properly involved.</w:t>
      </w:r>
    </w:p>
  </w:footnote>
  <w:footnote w:id="32">
    <w:p w14:paraId="2B2FFED8"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hyperlink r:id="rId10" w:history="1">
        <w:r w:rsidRPr="001A1F0B">
          <w:rPr>
            <w:rStyle w:val="Hyperlink"/>
            <w:szCs w:val="16"/>
            <w:lang w:val="en-GB"/>
          </w:rPr>
          <w:t>https://ec.europa.eu/info/business-economy-euro/economic-and-fiscal-policy-coordination/eu-economic-governance-monitoring-prevention-correction/european-semester/framework/eus-economic-governance-explained_en</w:t>
        </w:r>
      </w:hyperlink>
    </w:p>
  </w:footnote>
  <w:footnote w:id="33">
    <w:p w14:paraId="6B5076E4" w14:textId="77777777" w:rsidR="00AE36BD" w:rsidRPr="001A1F0B" w:rsidRDefault="00AE36BD" w:rsidP="00F13E31">
      <w:pPr>
        <w:pStyle w:val="FootnoteText"/>
        <w:rPr>
          <w:lang w:val="en-GB"/>
        </w:rPr>
      </w:pPr>
      <w:r w:rsidRPr="001A1F0B">
        <w:rPr>
          <w:rStyle w:val="FootnoteReference"/>
          <w:lang w:val="en-GB"/>
        </w:rPr>
        <w:footnoteRef/>
      </w:r>
      <w:r w:rsidRPr="001A1F0B">
        <w:rPr>
          <w:lang w:val="en-GB"/>
        </w:rPr>
        <w:t xml:space="preserve"> </w:t>
      </w:r>
      <w:r w:rsidRPr="001A1F0B">
        <w:rPr>
          <w:lang w:val="en-GB"/>
        </w:rPr>
        <w:tab/>
        <w:t>Ibid Eurofound reports, ETUI Benchmarking Working Europe 2018, ETUC yearly analyses of CSRs implementation in the Semester process.</w:t>
      </w:r>
    </w:p>
  </w:footnote>
  <w:footnote w:id="34">
    <w:p w14:paraId="08EDE6AE"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ETUI, 2010 Benchmarking working Europe, Brussels 2010.</w:t>
      </w:r>
    </w:p>
  </w:footnote>
  <w:footnote w:id="35">
    <w:p w14:paraId="29B754FD"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ILO Policy Brief, The need for social dialogue in addressing the C</w:t>
      </w:r>
      <w:r w:rsidR="009778FC">
        <w:rPr>
          <w:lang w:val="en-GB"/>
        </w:rPr>
        <w:t>OVID</w:t>
      </w:r>
      <w:r w:rsidRPr="001A1F0B">
        <w:rPr>
          <w:lang w:val="en-GB"/>
        </w:rPr>
        <w:t>-19 crisis, Geneva, May 2020.</w:t>
      </w:r>
    </w:p>
  </w:footnote>
  <w:footnote w:id="36">
    <w:p w14:paraId="79443517"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 xml:space="preserve">Eurofound </w:t>
      </w:r>
      <w:r w:rsidR="00452507">
        <w:rPr>
          <w:lang w:val="en-GB"/>
        </w:rPr>
        <w:t>(</w:t>
      </w:r>
      <w:r w:rsidRPr="001A1F0B">
        <w:rPr>
          <w:lang w:val="en-GB"/>
        </w:rPr>
        <w:t>2012</w:t>
      </w:r>
      <w:r w:rsidR="00452507">
        <w:rPr>
          <w:lang w:val="en-GB"/>
        </w:rPr>
        <w:t>)</w:t>
      </w:r>
      <w:r w:rsidRPr="001A1F0B">
        <w:rPr>
          <w:lang w:val="en-GB"/>
        </w:rPr>
        <w:t xml:space="preserve"> Social dialogue in times of global economic crisis.</w:t>
      </w:r>
    </w:p>
  </w:footnote>
  <w:footnote w:id="37">
    <w:p w14:paraId="48B5A2A0"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Eurofound</w:t>
      </w:r>
      <w:r w:rsidR="00452507">
        <w:rPr>
          <w:lang w:val="en-GB"/>
        </w:rPr>
        <w:t xml:space="preserve"> (</w:t>
      </w:r>
      <w:r w:rsidRPr="001A1F0B">
        <w:rPr>
          <w:lang w:val="en-GB"/>
        </w:rPr>
        <w:t>2013</w:t>
      </w:r>
      <w:r w:rsidR="00452507">
        <w:rPr>
          <w:lang w:val="en-GB"/>
        </w:rPr>
        <w:t>)</w:t>
      </w:r>
      <w:r w:rsidRPr="001A1F0B">
        <w:rPr>
          <w:lang w:val="en-GB"/>
        </w:rPr>
        <w:t xml:space="preserve"> Comparative analytical report: the impact of the crisis on working conditions relations,</w:t>
      </w:r>
    </w:p>
  </w:footnote>
  <w:footnote w:id="38">
    <w:p w14:paraId="7B2CA3EC"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 xml:space="preserve">Glassner </w:t>
      </w:r>
      <w:r w:rsidR="00452507">
        <w:rPr>
          <w:lang w:val="en-GB"/>
        </w:rPr>
        <w:t>(</w:t>
      </w:r>
      <w:r w:rsidRPr="001A1F0B">
        <w:rPr>
          <w:lang w:val="en-GB"/>
        </w:rPr>
        <w:t>2013), Central and eastern European industrial relations in the crisis: national divergence and path-dependent change and ILO Recovering from the crisis through social dialogue in the new EU Member States: the case of Bulgaria, the Czech Republic, Poland and Slovenia.</w:t>
      </w:r>
    </w:p>
  </w:footnote>
  <w:footnote w:id="39">
    <w:p w14:paraId="7A997FBB"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Eurofound (2014), Changes to wage-setting mechanisms in the context of the crisis and the EU</w:t>
      </w:r>
      <w:r w:rsidR="00A90B16">
        <w:rPr>
          <w:lang w:val="en-GB"/>
        </w:rPr>
        <w:t>'</w:t>
      </w:r>
      <w:r w:rsidRPr="001A1F0B">
        <w:rPr>
          <w:lang w:val="en-GB"/>
        </w:rPr>
        <w:t>s new economic governance regime.</w:t>
      </w:r>
    </w:p>
  </w:footnote>
  <w:footnote w:id="40">
    <w:p w14:paraId="6DC61175"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r>
      <w:hyperlink r:id="rId11" w:history="1">
        <w:r w:rsidR="00A90B16">
          <w:rPr>
            <w:rStyle w:val="Hyperlink"/>
            <w:lang w:val="en-GB"/>
          </w:rPr>
          <w:t>European Commission's Industrial relations in Europe, (2010)</w:t>
        </w:r>
      </w:hyperlink>
      <w:r w:rsidRPr="001A1F0B">
        <w:t>.</w:t>
      </w:r>
    </w:p>
  </w:footnote>
  <w:footnote w:id="41">
    <w:p w14:paraId="62989E54" w14:textId="77777777" w:rsidR="00AE36BD" w:rsidRPr="001A1F0B" w:rsidRDefault="00AE36BD">
      <w:pPr>
        <w:pStyle w:val="FootnoteText"/>
        <w:rPr>
          <w:lang w:val="en-GB"/>
        </w:rPr>
      </w:pPr>
      <w:r w:rsidRPr="001A1F0B">
        <w:rPr>
          <w:rStyle w:val="FootnoteReference"/>
          <w:lang w:val="en-GB"/>
        </w:rPr>
        <w:footnoteRef/>
      </w:r>
      <w:r w:rsidRPr="001A1F0B">
        <w:rPr>
          <w:lang w:val="en-GB"/>
        </w:rPr>
        <w:t xml:space="preserve"> </w:t>
      </w:r>
      <w:r w:rsidRPr="001A1F0B">
        <w:rPr>
          <w:lang w:val="en-GB"/>
        </w:rPr>
        <w:tab/>
        <w:t xml:space="preserve">Ibid ILO policy brief, 2020 and OECD web-portal updates </w:t>
      </w:r>
      <w:r w:rsidR="00935F76">
        <w:rPr>
          <w:lang w:val="en-GB"/>
        </w:rPr>
        <w:t>"</w:t>
      </w:r>
      <w:r w:rsidRPr="001A1F0B">
        <w:rPr>
          <w:lang w:val="en-GB"/>
        </w:rPr>
        <w:t>Tackling the coronavirus – contributing to a global effort</w:t>
      </w:r>
      <w:r w:rsidR="00935F76">
        <w:rPr>
          <w:lang w:val="en-GB"/>
        </w:rPr>
        <w:t>"</w:t>
      </w:r>
      <w:r w:rsidRPr="001A1F0B">
        <w:rPr>
          <w:lang w:val="en-GB"/>
        </w:rPr>
        <w:t>, March 2020.</w:t>
      </w:r>
    </w:p>
  </w:footnote>
  <w:footnote w:id="42">
    <w:p w14:paraId="13FEDADA" w14:textId="77777777" w:rsidR="00AE36BD" w:rsidRPr="001A1F0B" w:rsidRDefault="00AE36BD" w:rsidP="001B6470">
      <w:pPr>
        <w:pStyle w:val="FootnoteText"/>
        <w:rPr>
          <w:lang w:val="en-GB"/>
        </w:rPr>
      </w:pPr>
      <w:r w:rsidRPr="001A1F0B">
        <w:rPr>
          <w:rStyle w:val="FootnoteReference"/>
          <w:lang w:val="en-GB"/>
        </w:rPr>
        <w:footnoteRef/>
      </w:r>
      <w:r w:rsidRPr="001A1F0B">
        <w:rPr>
          <w:lang w:val="en-GB"/>
        </w:rPr>
        <w:t xml:space="preserve"> </w:t>
      </w:r>
      <w:r w:rsidRPr="001A1F0B">
        <w:rPr>
          <w:lang w:val="en-GB"/>
        </w:rPr>
        <w:tab/>
      </w:r>
      <w:hyperlink r:id="rId12" w:history="1">
        <w:r w:rsidR="0066062F">
          <w:rPr>
            <w:rStyle w:val="Hyperlink"/>
            <w:lang w:val="en-GB"/>
          </w:rPr>
          <w:t>OJ C 161, 06.06.2013, p. 35</w:t>
        </w:r>
      </w:hyperlink>
      <w:r w:rsidRPr="001A1F0B">
        <w:rPr>
          <w:lang w:val="en-GB"/>
        </w:rPr>
        <w:t xml:space="preserve"> </w:t>
      </w:r>
      <w:r w:rsidR="002C4C35">
        <w:rPr>
          <w:lang w:val="en-GB"/>
        </w:rPr>
        <w:t>–</w:t>
      </w:r>
      <w:r w:rsidRPr="001A1F0B">
        <w:rPr>
          <w:lang w:val="en-GB"/>
        </w:rPr>
        <w:t xml:space="preserve"> section 3 defines a "sustainable" enterprise.</w:t>
      </w:r>
    </w:p>
  </w:footnote>
  <w:footnote w:id="43">
    <w:p w14:paraId="331EAAF9" w14:textId="77777777" w:rsidR="00AE36BD" w:rsidRPr="001A1F0B" w:rsidRDefault="00AE36BD" w:rsidP="00484971">
      <w:pPr>
        <w:pStyle w:val="FootnoteText"/>
        <w:rPr>
          <w:lang w:val="en-GB"/>
        </w:rPr>
      </w:pPr>
      <w:r w:rsidRPr="001A1F0B">
        <w:rPr>
          <w:rStyle w:val="FootnoteReference"/>
          <w:lang w:val="en-GB"/>
        </w:rPr>
        <w:footnoteRef/>
      </w:r>
      <w:r w:rsidRPr="001A1F0B">
        <w:rPr>
          <w:lang w:val="en-GB"/>
        </w:rPr>
        <w:tab/>
        <w:t xml:space="preserve">Article </w:t>
      </w:r>
      <w:r w:rsidR="003E0EEB">
        <w:rPr>
          <w:lang w:val="en-GB"/>
        </w:rPr>
        <w:t>based on</w:t>
      </w:r>
      <w:r w:rsidRPr="001A1F0B">
        <w:rPr>
          <w:lang w:val="en-GB"/>
        </w:rPr>
        <w:t xml:space="preserve"> Eurofound </w:t>
      </w:r>
      <w:r w:rsidR="003E0EEB">
        <w:rPr>
          <w:lang w:val="en-GB"/>
        </w:rPr>
        <w:t>r</w:t>
      </w:r>
      <w:r w:rsidRPr="001A1F0B">
        <w:rPr>
          <w:lang w:val="en-GB"/>
        </w:rPr>
        <w:t xml:space="preserve">esearch </w:t>
      </w:r>
      <w:r w:rsidR="00935F76">
        <w:rPr>
          <w:lang w:val="en-GB"/>
        </w:rPr>
        <w:t>"</w:t>
      </w:r>
      <w:r w:rsidRPr="001A1F0B">
        <w:rPr>
          <w:lang w:val="en-GB"/>
        </w:rPr>
        <w:t>Industrial democracy in Europe: a quantit</w:t>
      </w:r>
      <w:r w:rsidR="00E11612">
        <w:rPr>
          <w:lang w:val="en-GB"/>
        </w:rPr>
        <w:t>a</w:t>
      </w:r>
      <w:r w:rsidRPr="001A1F0B">
        <w:rPr>
          <w:lang w:val="en-GB"/>
        </w:rPr>
        <w:t>tive approach</w:t>
      </w:r>
      <w:r w:rsidR="00935F76">
        <w:rPr>
          <w:lang w:val="en-GB"/>
        </w:rPr>
        <w:t>"</w:t>
      </w:r>
      <w:r w:rsidRPr="001A1F0B">
        <w:rPr>
          <w:lang w:val="en-GB"/>
        </w:rPr>
        <w:t>, Pablo Sanz, Christian We</w:t>
      </w:r>
      <w:r w:rsidR="007603AC">
        <w:rPr>
          <w:lang w:val="en-GB"/>
        </w:rPr>
        <w:t>l</w:t>
      </w:r>
      <w:r w:rsidRPr="001A1F0B">
        <w:rPr>
          <w:lang w:val="en-GB"/>
        </w:rPr>
        <w:t xml:space="preserve">z, Maria Caprile, Ricardo Rodriguez Contreras, </w:t>
      </w:r>
      <w:r w:rsidR="00DA28FC">
        <w:rPr>
          <w:lang w:val="en-GB"/>
        </w:rPr>
        <w:t xml:space="preserve">Labour and Industry, </w:t>
      </w:r>
      <w:r w:rsidRPr="001A1F0B">
        <w:rPr>
          <w:lang w:val="en-GB"/>
        </w:rPr>
        <w:t>June 2020.</w:t>
      </w:r>
    </w:p>
  </w:footnote>
  <w:footnote w:id="44">
    <w:p w14:paraId="3A91DAC3" w14:textId="77777777" w:rsidR="00AE36BD" w:rsidRPr="001A1F0B" w:rsidRDefault="00AE36BD" w:rsidP="004736B0">
      <w:pPr>
        <w:pStyle w:val="FootnoteText"/>
        <w:rPr>
          <w:lang w:val="en-GB"/>
        </w:rPr>
      </w:pPr>
      <w:r w:rsidRPr="001A1F0B">
        <w:rPr>
          <w:rStyle w:val="FootnoteReference"/>
          <w:lang w:val="en-GB"/>
        </w:rPr>
        <w:footnoteRef/>
      </w:r>
      <w:r w:rsidRPr="001A1F0B">
        <w:rPr>
          <w:lang w:val="en-GB"/>
        </w:rPr>
        <w:tab/>
      </w:r>
      <w:r w:rsidR="00BD366C" w:rsidRPr="00BD366C">
        <w:rPr>
          <w:lang w:val="en-GB"/>
        </w:rPr>
        <w:t xml:space="preserve">Article based on Eurofound research </w:t>
      </w:r>
      <w:r w:rsidR="00935F76">
        <w:rPr>
          <w:lang w:val="en-GB"/>
        </w:rPr>
        <w:t>"</w:t>
      </w:r>
      <w:r w:rsidR="00BD366C" w:rsidRPr="00BD366C">
        <w:rPr>
          <w:lang w:val="en-GB"/>
        </w:rPr>
        <w:t>Industrial democracy in Europe: a quantitative approach</w:t>
      </w:r>
      <w:r w:rsidR="00935F76">
        <w:rPr>
          <w:lang w:val="en-GB"/>
        </w:rPr>
        <w:t>"</w:t>
      </w:r>
      <w:r w:rsidR="00BD366C" w:rsidRPr="00BD366C">
        <w:rPr>
          <w:lang w:val="en-GB"/>
        </w:rPr>
        <w:t xml:space="preserve">, Pablo Sanz, Christian Welz, Maria Caprile, Ricardo Rodriguez Contreras, </w:t>
      </w:r>
      <w:r w:rsidR="00BD366C">
        <w:rPr>
          <w:lang w:val="en-GB"/>
        </w:rPr>
        <w:t>Labour and Industry, June 2020</w:t>
      </w:r>
      <w:r w:rsidRPr="001A1F0B">
        <w:rPr>
          <w:lang w:val="en-GB"/>
        </w:rPr>
        <w:t>.</w:t>
      </w:r>
    </w:p>
  </w:footnote>
  <w:footnote w:id="45">
    <w:p w14:paraId="08824F8C" w14:textId="77777777" w:rsidR="00AE36BD" w:rsidRPr="001A1F0B" w:rsidRDefault="00AE36BD" w:rsidP="00C04D20">
      <w:pPr>
        <w:pStyle w:val="FootnoteText"/>
        <w:rPr>
          <w:lang w:val="en-GB"/>
        </w:rPr>
      </w:pPr>
      <w:r w:rsidRPr="001A1F0B">
        <w:rPr>
          <w:rStyle w:val="FootnoteReference"/>
          <w:lang w:val="en-GB"/>
        </w:rPr>
        <w:footnoteRef/>
      </w:r>
      <w:r w:rsidRPr="001A1F0B">
        <w:rPr>
          <w:lang w:val="en-GB"/>
        </w:rPr>
        <w:t xml:space="preserve"> </w:t>
      </w:r>
      <w:r w:rsidRPr="001A1F0B">
        <w:rPr>
          <w:lang w:val="en-GB"/>
        </w:rPr>
        <w:tab/>
      </w:r>
      <w:r w:rsidR="00573B8A" w:rsidRPr="00573B8A">
        <w:rPr>
          <w:lang w:val="en-GB"/>
        </w:rPr>
        <w:t>Directive 2002/14/EC framework on i</w:t>
      </w:r>
      <w:r w:rsidR="0082343E">
        <w:rPr>
          <w:lang w:val="en-GB"/>
        </w:rPr>
        <w:t xml:space="preserve">nformation and consultation and </w:t>
      </w:r>
      <w:r w:rsidR="00573B8A" w:rsidRPr="00573B8A">
        <w:rPr>
          <w:lang w:val="en-GB"/>
        </w:rPr>
        <w:t>Directive 2009/38/EC European Works Councils</w:t>
      </w:r>
      <w:r w:rsidRPr="001A1F0B">
        <w:rPr>
          <w:lang w:val="en-GB"/>
        </w:rPr>
        <w:t>.</w:t>
      </w:r>
    </w:p>
  </w:footnote>
  <w:footnote w:id="46">
    <w:p w14:paraId="0A326622" w14:textId="77777777" w:rsidR="00AE36BD" w:rsidRPr="001A1F0B" w:rsidRDefault="00AE36BD" w:rsidP="00484971">
      <w:pPr>
        <w:pStyle w:val="FootnoteText"/>
        <w:rPr>
          <w:lang w:val="en-GB"/>
        </w:rPr>
      </w:pPr>
      <w:r w:rsidRPr="001A1F0B">
        <w:rPr>
          <w:rStyle w:val="FootnoteReference"/>
          <w:lang w:val="en-GB"/>
        </w:rPr>
        <w:footnoteRef/>
      </w:r>
      <w:r w:rsidRPr="001A1F0B">
        <w:rPr>
          <w:lang w:val="en-GB"/>
        </w:rPr>
        <w:tab/>
      </w:r>
      <w:r w:rsidRPr="001A1F0B">
        <w:rPr>
          <w:iCs/>
          <w:lang w:val="en-GB"/>
        </w:rPr>
        <w:t>Dir. 94/45, as amended 2009/38.</w:t>
      </w:r>
    </w:p>
  </w:footnote>
  <w:footnote w:id="47">
    <w:p w14:paraId="4A84E9A3" w14:textId="77777777" w:rsidR="00AE36BD" w:rsidRPr="001A1F0B" w:rsidRDefault="00AE36BD" w:rsidP="00484971">
      <w:pPr>
        <w:pStyle w:val="FootnoteText"/>
        <w:rPr>
          <w:lang w:val="en-GB"/>
        </w:rPr>
      </w:pPr>
      <w:r w:rsidRPr="001A1F0B">
        <w:rPr>
          <w:rStyle w:val="FootnoteReference"/>
          <w:lang w:val="en-GB"/>
        </w:rPr>
        <w:footnoteRef/>
      </w:r>
      <w:r w:rsidRPr="001A1F0B">
        <w:rPr>
          <w:lang w:val="en-GB"/>
        </w:rPr>
        <w:tab/>
        <w:t>Eurofound</w:t>
      </w:r>
      <w:r w:rsidR="005B313D">
        <w:rPr>
          <w:lang w:val="en-GB"/>
        </w:rPr>
        <w:t xml:space="preserve"> (2020)</w:t>
      </w:r>
      <w:r w:rsidRPr="001A1F0B">
        <w:rPr>
          <w:lang w:val="en-GB"/>
        </w:rPr>
        <w:t xml:space="preserve"> Social dialogue and HR practices in European global companies, with analysis and findings on the evolution of a European dimension of social dialogue at both transnational level of decision-making and in local subsidiaries and the role of EWCs as a key link between different levels of social dialogue within a company, such</w:t>
      </w:r>
      <w:r w:rsidR="00E11612">
        <w:rPr>
          <w:lang w:val="en-GB"/>
        </w:rPr>
        <w:t xml:space="preserve"> </w:t>
      </w:r>
      <w:r w:rsidRPr="001A1F0B">
        <w:rPr>
          <w:lang w:val="en-GB"/>
        </w:rPr>
        <w:t>as the national and European.</w:t>
      </w:r>
    </w:p>
  </w:footnote>
  <w:footnote w:id="48">
    <w:p w14:paraId="6803F066" w14:textId="77777777" w:rsidR="00AE36BD" w:rsidRPr="001A1F0B" w:rsidRDefault="00AE36BD" w:rsidP="00484971">
      <w:pPr>
        <w:pStyle w:val="FootnoteText"/>
        <w:rPr>
          <w:lang w:val="en-GB"/>
        </w:rPr>
      </w:pPr>
      <w:r w:rsidRPr="001A1F0B">
        <w:rPr>
          <w:rStyle w:val="FootnoteReference"/>
          <w:lang w:val="en-GB"/>
        </w:rPr>
        <w:footnoteRef/>
      </w:r>
      <w:r w:rsidRPr="001A1F0B">
        <w:rPr>
          <w:lang w:val="en-GB"/>
        </w:rPr>
        <w:tab/>
        <w:t>EU Commission: Report on the implementation by Member States of Directive 2009/38/EC on the establishment of a European Work Council or a procedure in Community-scale undertakings and Community-scale groups of undertakings for the purposes of informing and consulting employees (Recast), Brussels, 14.05.2018 COM (2018) 292 final.</w:t>
      </w:r>
    </w:p>
  </w:footnote>
  <w:footnote w:id="49">
    <w:p w14:paraId="7A2A5F41" w14:textId="77777777" w:rsidR="00336F42" w:rsidRPr="001A1F0B" w:rsidRDefault="00336F42" w:rsidP="00336F42">
      <w:pPr>
        <w:pStyle w:val="FootnoteText"/>
        <w:rPr>
          <w:lang w:val="en-GB"/>
        </w:rPr>
      </w:pPr>
      <w:r w:rsidRPr="001A1F0B">
        <w:rPr>
          <w:rStyle w:val="FootnoteReference"/>
          <w:lang w:val="en-GB"/>
        </w:rPr>
        <w:footnoteRef/>
      </w:r>
      <w:r w:rsidRPr="001A1F0B">
        <w:rPr>
          <w:lang w:val="en-GB"/>
        </w:rPr>
        <w:tab/>
      </w:r>
      <w:hyperlink r:id="rId13" w:history="1">
        <w:r w:rsidR="0066062F">
          <w:rPr>
            <w:rStyle w:val="Hyperlink"/>
            <w:lang w:val="en-GB"/>
          </w:rPr>
          <w:t>OJ C 161, 06.06.2013, p. 35</w:t>
        </w:r>
      </w:hyperlink>
      <w:r w:rsidRPr="001A1F0B">
        <w:rPr>
          <w:lang w:val="en-GB"/>
        </w:rPr>
        <w:t>.</w:t>
      </w:r>
    </w:p>
  </w:footnote>
  <w:footnote w:id="50">
    <w:p w14:paraId="46953786" w14:textId="77777777" w:rsidR="00AE36BD" w:rsidRPr="001A1F0B" w:rsidRDefault="00AE36BD" w:rsidP="00484971">
      <w:pPr>
        <w:pStyle w:val="FootnoteText"/>
        <w:rPr>
          <w:lang w:val="en-GB"/>
        </w:rPr>
      </w:pPr>
      <w:r w:rsidRPr="001A1F0B">
        <w:rPr>
          <w:rStyle w:val="FootnoteReference"/>
          <w:lang w:val="en-GB"/>
        </w:rPr>
        <w:footnoteRef/>
      </w:r>
      <w:r w:rsidRPr="001A1F0B">
        <w:rPr>
          <w:lang w:val="en-GB"/>
        </w:rPr>
        <w:tab/>
      </w:r>
      <w:r w:rsidR="00AA1293" w:rsidRPr="00AA1293">
        <w:rPr>
          <w:lang w:val="en-GB"/>
        </w:rPr>
        <w:t xml:space="preserve">Article based on Eurofound research </w:t>
      </w:r>
      <w:r w:rsidR="00935F76">
        <w:rPr>
          <w:lang w:val="en-GB"/>
        </w:rPr>
        <w:t>"</w:t>
      </w:r>
      <w:r w:rsidR="00AA1293" w:rsidRPr="00AA1293">
        <w:rPr>
          <w:lang w:val="en-GB"/>
        </w:rPr>
        <w:t>Industrial democracy in Europe: a quantitative approach</w:t>
      </w:r>
      <w:r w:rsidR="00935F76">
        <w:rPr>
          <w:lang w:val="en-GB"/>
        </w:rPr>
        <w:t>"</w:t>
      </w:r>
      <w:r w:rsidR="00AA1293" w:rsidRPr="00AA1293">
        <w:rPr>
          <w:lang w:val="en-GB"/>
        </w:rPr>
        <w:t xml:space="preserve">, Pablo Sanz, Christian Welz, Maria Caprile, Ricardo Rodriguez Contreras, </w:t>
      </w:r>
      <w:r w:rsidR="00AA1293">
        <w:rPr>
          <w:lang w:val="en-GB"/>
        </w:rPr>
        <w:t>Labour and Industry , June 2020</w:t>
      </w:r>
      <w:r w:rsidRPr="001A1F0B">
        <w:rPr>
          <w:lang w:val="en-GB"/>
        </w:rPr>
        <w:t>.</w:t>
      </w:r>
    </w:p>
  </w:footnote>
  <w:footnote w:id="51">
    <w:p w14:paraId="657FF3B5" w14:textId="77777777" w:rsidR="00AE36BD" w:rsidRPr="001A1F0B" w:rsidRDefault="00AE36BD" w:rsidP="00484971">
      <w:pPr>
        <w:pStyle w:val="FootnoteText"/>
        <w:rPr>
          <w:lang w:val="en-GB"/>
        </w:rPr>
      </w:pPr>
      <w:r w:rsidRPr="001A1F0B">
        <w:rPr>
          <w:rStyle w:val="FootnoteReference"/>
          <w:lang w:val="en-GB"/>
        </w:rPr>
        <w:footnoteRef/>
      </w:r>
      <w:r w:rsidRPr="001A1F0B">
        <w:rPr>
          <w:lang w:val="en-GB"/>
        </w:rPr>
        <w:tab/>
        <w:t>Germany: direct appointment by law, the Netherlands: co-optation of managers indicated by the workers; France mix of direct and shareholder appointments; Sweden: appointment of trade union representatives, etc.</w:t>
      </w:r>
    </w:p>
  </w:footnote>
  <w:footnote w:id="52">
    <w:p w14:paraId="78B55366"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 xml:space="preserve">Communication from the Commission COM (2020) 500 final, 20. 5. 2020, </w:t>
      </w:r>
      <w:r w:rsidRPr="001A1F0B">
        <w:rPr>
          <w:i/>
          <w:szCs w:val="16"/>
          <w:lang w:val="en-GB"/>
        </w:rPr>
        <w:t>2020 European Semester: Country-specific recommendations</w:t>
      </w:r>
      <w:r w:rsidRPr="001A1F0B">
        <w:rPr>
          <w:szCs w:val="16"/>
          <w:lang w:val="en-GB"/>
        </w:rPr>
        <w:t>.</w:t>
      </w:r>
    </w:p>
  </w:footnote>
  <w:footnote w:id="53">
    <w:p w14:paraId="5F4D586E" w14:textId="77777777" w:rsidR="00AE36BD" w:rsidRPr="001A1F0B" w:rsidRDefault="00AE36BD">
      <w:pPr>
        <w:pStyle w:val="FootnoteText"/>
        <w:rPr>
          <w:szCs w:val="16"/>
          <w:lang w:val="en-GB"/>
        </w:rPr>
      </w:pPr>
      <w:r w:rsidRPr="001A1F0B">
        <w:rPr>
          <w:rStyle w:val="FootnoteReference"/>
          <w:lang w:val="en-GB"/>
        </w:rPr>
        <w:footnoteRef/>
      </w:r>
      <w:r w:rsidRPr="001A1F0B">
        <w:rPr>
          <w:lang w:val="en-GB"/>
        </w:rPr>
        <w:t xml:space="preserve"> </w:t>
      </w:r>
      <w:r w:rsidRPr="001A1F0B">
        <w:rPr>
          <w:lang w:val="en-GB"/>
        </w:rPr>
        <w:tab/>
      </w:r>
      <w:r w:rsidRPr="001A1F0B">
        <w:rPr>
          <w:szCs w:val="16"/>
          <w:lang w:val="en-GB"/>
        </w:rPr>
        <w:t>ETUC Briefing notes, Workers’ Information, consultation and participation, 15 May 2020.</w:t>
      </w:r>
    </w:p>
  </w:footnote>
  <w:footnote w:id="54">
    <w:p w14:paraId="35464EDA" w14:textId="77777777" w:rsidR="00AE36BD" w:rsidRPr="001A1F0B" w:rsidRDefault="00AE36BD" w:rsidP="00B36C16">
      <w:pPr>
        <w:pStyle w:val="FootnoteText"/>
        <w:rPr>
          <w:lang w:val="en-GB"/>
        </w:rPr>
      </w:pPr>
      <w:r w:rsidRPr="001A1F0B">
        <w:rPr>
          <w:rStyle w:val="FootnoteReference"/>
          <w:lang w:val="en-GB"/>
        </w:rPr>
        <w:footnoteRef/>
      </w:r>
      <w:r w:rsidRPr="001A1F0B">
        <w:rPr>
          <w:lang w:val="en-GB"/>
        </w:rPr>
        <w:t xml:space="preserve"> </w:t>
      </w:r>
      <w:r w:rsidRPr="001A1F0B">
        <w:rPr>
          <w:lang w:val="en-GB"/>
        </w:rPr>
        <w:tab/>
        <w:t xml:space="preserve">Joint proposal of the cross-sector European social partners to create a special financial instrument to support social partners during the COVID-19 crisis, addressed to Executive Vice-President Valdis Dombrovskis and the Commissioner for Jobs </w:t>
      </w:r>
      <w:r w:rsidR="007C4372">
        <w:rPr>
          <w:lang w:val="en-GB"/>
        </w:rPr>
        <w:t>and Social Rights Nicolas Schmi</w:t>
      </w:r>
      <w:r w:rsidRPr="001A1F0B">
        <w:rPr>
          <w:lang w:val="en-GB"/>
        </w:rPr>
        <w:t>t, 10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4B97" w14:textId="77777777" w:rsidR="00AE36BD" w:rsidRPr="00931640" w:rsidRDefault="00AE36BD" w:rsidP="00931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DBBF" w14:textId="77777777" w:rsidR="00AE36BD" w:rsidRPr="00931640" w:rsidRDefault="00AE36BD" w:rsidP="00931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6F02" w14:textId="77777777" w:rsidR="00AE36BD" w:rsidRPr="00931640" w:rsidRDefault="00AE36BD" w:rsidP="00931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64EECE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A8D6341"/>
    <w:multiLevelType w:val="multilevel"/>
    <w:tmpl w:val="2F82E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num>
  <w:num w:numId="5">
    <w:abstractNumId w:val="0"/>
    <w:lvlOverride w:ilvl="0">
      <w:startOverride w:val="5"/>
    </w:lvlOverride>
    <w:lvlOverride w:ilvl="1">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nl-B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8F"/>
    <w:rsid w:val="000016D1"/>
    <w:rsid w:val="00005AB9"/>
    <w:rsid w:val="00005EB9"/>
    <w:rsid w:val="00006E24"/>
    <w:rsid w:val="00007A40"/>
    <w:rsid w:val="00011336"/>
    <w:rsid w:val="00011D33"/>
    <w:rsid w:val="00012774"/>
    <w:rsid w:val="000130B7"/>
    <w:rsid w:val="0001381E"/>
    <w:rsid w:val="00014CBD"/>
    <w:rsid w:val="0001558B"/>
    <w:rsid w:val="00016CA0"/>
    <w:rsid w:val="00020E6E"/>
    <w:rsid w:val="00021396"/>
    <w:rsid w:val="00021A0F"/>
    <w:rsid w:val="000251AD"/>
    <w:rsid w:val="00025404"/>
    <w:rsid w:val="00031A4B"/>
    <w:rsid w:val="00033913"/>
    <w:rsid w:val="00033E5B"/>
    <w:rsid w:val="000357A8"/>
    <w:rsid w:val="00037479"/>
    <w:rsid w:val="000427EE"/>
    <w:rsid w:val="000430A6"/>
    <w:rsid w:val="00043237"/>
    <w:rsid w:val="000443E6"/>
    <w:rsid w:val="00044923"/>
    <w:rsid w:val="0004511D"/>
    <w:rsid w:val="000462D1"/>
    <w:rsid w:val="0004658A"/>
    <w:rsid w:val="00046D22"/>
    <w:rsid w:val="00046FF1"/>
    <w:rsid w:val="0005249C"/>
    <w:rsid w:val="00052872"/>
    <w:rsid w:val="00052C34"/>
    <w:rsid w:val="000533DF"/>
    <w:rsid w:val="000534A5"/>
    <w:rsid w:val="0005384D"/>
    <w:rsid w:val="00053CB3"/>
    <w:rsid w:val="00056675"/>
    <w:rsid w:val="0005680D"/>
    <w:rsid w:val="000571CE"/>
    <w:rsid w:val="00057B7F"/>
    <w:rsid w:val="00057F62"/>
    <w:rsid w:val="00060400"/>
    <w:rsid w:val="0006098A"/>
    <w:rsid w:val="0006204A"/>
    <w:rsid w:val="00063541"/>
    <w:rsid w:val="00063FB4"/>
    <w:rsid w:val="00066B9E"/>
    <w:rsid w:val="0006793E"/>
    <w:rsid w:val="00067F70"/>
    <w:rsid w:val="00072E0F"/>
    <w:rsid w:val="000735E5"/>
    <w:rsid w:val="00073741"/>
    <w:rsid w:val="0007392F"/>
    <w:rsid w:val="00074864"/>
    <w:rsid w:val="0007613D"/>
    <w:rsid w:val="000772B4"/>
    <w:rsid w:val="000818FC"/>
    <w:rsid w:val="00082CF2"/>
    <w:rsid w:val="00087B39"/>
    <w:rsid w:val="00094F84"/>
    <w:rsid w:val="00095405"/>
    <w:rsid w:val="000957D8"/>
    <w:rsid w:val="00095DAC"/>
    <w:rsid w:val="00096502"/>
    <w:rsid w:val="000A320A"/>
    <w:rsid w:val="000A409F"/>
    <w:rsid w:val="000A49BB"/>
    <w:rsid w:val="000A64D2"/>
    <w:rsid w:val="000A6599"/>
    <w:rsid w:val="000B090F"/>
    <w:rsid w:val="000B1BE9"/>
    <w:rsid w:val="000B2F51"/>
    <w:rsid w:val="000B4906"/>
    <w:rsid w:val="000B75E4"/>
    <w:rsid w:val="000C13A1"/>
    <w:rsid w:val="000C3441"/>
    <w:rsid w:val="000C42BB"/>
    <w:rsid w:val="000C45EE"/>
    <w:rsid w:val="000C7209"/>
    <w:rsid w:val="000C7F53"/>
    <w:rsid w:val="000D21EC"/>
    <w:rsid w:val="000D2427"/>
    <w:rsid w:val="000D2F8E"/>
    <w:rsid w:val="000D4283"/>
    <w:rsid w:val="000D4D63"/>
    <w:rsid w:val="000D7EE7"/>
    <w:rsid w:val="000E0835"/>
    <w:rsid w:val="000E39A8"/>
    <w:rsid w:val="000E4F1E"/>
    <w:rsid w:val="000E55E3"/>
    <w:rsid w:val="000E68D4"/>
    <w:rsid w:val="000F04A7"/>
    <w:rsid w:val="000F196B"/>
    <w:rsid w:val="000F2709"/>
    <w:rsid w:val="000F59ED"/>
    <w:rsid w:val="000F6642"/>
    <w:rsid w:val="000F7D9E"/>
    <w:rsid w:val="0010072A"/>
    <w:rsid w:val="00102E0D"/>
    <w:rsid w:val="00105261"/>
    <w:rsid w:val="00105361"/>
    <w:rsid w:val="00105425"/>
    <w:rsid w:val="00106098"/>
    <w:rsid w:val="00106B5C"/>
    <w:rsid w:val="001101F8"/>
    <w:rsid w:val="00110617"/>
    <w:rsid w:val="0011206F"/>
    <w:rsid w:val="0011255B"/>
    <w:rsid w:val="0011296A"/>
    <w:rsid w:val="0011656A"/>
    <w:rsid w:val="0011753F"/>
    <w:rsid w:val="00122007"/>
    <w:rsid w:val="001220D4"/>
    <w:rsid w:val="0012220C"/>
    <w:rsid w:val="00122342"/>
    <w:rsid w:val="001224E7"/>
    <w:rsid w:val="00122B5D"/>
    <w:rsid w:val="00123545"/>
    <w:rsid w:val="00123ACD"/>
    <w:rsid w:val="00130A99"/>
    <w:rsid w:val="00136AD6"/>
    <w:rsid w:val="00136EA3"/>
    <w:rsid w:val="00137575"/>
    <w:rsid w:val="00140879"/>
    <w:rsid w:val="00140B2A"/>
    <w:rsid w:val="001420C3"/>
    <w:rsid w:val="00144231"/>
    <w:rsid w:val="001450A8"/>
    <w:rsid w:val="00145CDF"/>
    <w:rsid w:val="0014617C"/>
    <w:rsid w:val="00146AC8"/>
    <w:rsid w:val="00150434"/>
    <w:rsid w:val="00150763"/>
    <w:rsid w:val="001515E3"/>
    <w:rsid w:val="00152ABD"/>
    <w:rsid w:val="00152EC3"/>
    <w:rsid w:val="00155721"/>
    <w:rsid w:val="00155C4F"/>
    <w:rsid w:val="0015678B"/>
    <w:rsid w:val="00156D8F"/>
    <w:rsid w:val="0015715B"/>
    <w:rsid w:val="00157C2A"/>
    <w:rsid w:val="00160AFB"/>
    <w:rsid w:val="001624B1"/>
    <w:rsid w:val="0016503F"/>
    <w:rsid w:val="0016674F"/>
    <w:rsid w:val="00166902"/>
    <w:rsid w:val="00167CA0"/>
    <w:rsid w:val="0017120D"/>
    <w:rsid w:val="001714F6"/>
    <w:rsid w:val="00171E80"/>
    <w:rsid w:val="001746B8"/>
    <w:rsid w:val="00175945"/>
    <w:rsid w:val="00176168"/>
    <w:rsid w:val="00177158"/>
    <w:rsid w:val="001808A5"/>
    <w:rsid w:val="0018343A"/>
    <w:rsid w:val="00183B0F"/>
    <w:rsid w:val="00184FD4"/>
    <w:rsid w:val="00185AF0"/>
    <w:rsid w:val="00186B04"/>
    <w:rsid w:val="00186F1E"/>
    <w:rsid w:val="00190836"/>
    <w:rsid w:val="0019154C"/>
    <w:rsid w:val="00191A01"/>
    <w:rsid w:val="00193930"/>
    <w:rsid w:val="001961A9"/>
    <w:rsid w:val="001963A5"/>
    <w:rsid w:val="00196F1E"/>
    <w:rsid w:val="0019783A"/>
    <w:rsid w:val="00197E85"/>
    <w:rsid w:val="00197FCA"/>
    <w:rsid w:val="001A1F0B"/>
    <w:rsid w:val="001A27DB"/>
    <w:rsid w:val="001A3291"/>
    <w:rsid w:val="001A399A"/>
    <w:rsid w:val="001A6852"/>
    <w:rsid w:val="001B286A"/>
    <w:rsid w:val="001B2D02"/>
    <w:rsid w:val="001B30D4"/>
    <w:rsid w:val="001B3647"/>
    <w:rsid w:val="001B518C"/>
    <w:rsid w:val="001B5CF6"/>
    <w:rsid w:val="001B6470"/>
    <w:rsid w:val="001B77FA"/>
    <w:rsid w:val="001C0ABE"/>
    <w:rsid w:val="001C0BF5"/>
    <w:rsid w:val="001C4DE6"/>
    <w:rsid w:val="001C5852"/>
    <w:rsid w:val="001D45F0"/>
    <w:rsid w:val="001D74B9"/>
    <w:rsid w:val="001E2357"/>
    <w:rsid w:val="001E3ABD"/>
    <w:rsid w:val="001E4A33"/>
    <w:rsid w:val="001E52EE"/>
    <w:rsid w:val="001E5C27"/>
    <w:rsid w:val="001F1BF0"/>
    <w:rsid w:val="001F3E31"/>
    <w:rsid w:val="001F602B"/>
    <w:rsid w:val="001F6AC8"/>
    <w:rsid w:val="001F7236"/>
    <w:rsid w:val="001F726E"/>
    <w:rsid w:val="00201F64"/>
    <w:rsid w:val="002037D5"/>
    <w:rsid w:val="002049F7"/>
    <w:rsid w:val="002067B8"/>
    <w:rsid w:val="002068B5"/>
    <w:rsid w:val="00206F90"/>
    <w:rsid w:val="0021167A"/>
    <w:rsid w:val="00212B03"/>
    <w:rsid w:val="002131AE"/>
    <w:rsid w:val="00215C10"/>
    <w:rsid w:val="00215C2D"/>
    <w:rsid w:val="00220287"/>
    <w:rsid w:val="0022069C"/>
    <w:rsid w:val="0022130E"/>
    <w:rsid w:val="0022431C"/>
    <w:rsid w:val="00224A37"/>
    <w:rsid w:val="002252C4"/>
    <w:rsid w:val="00225548"/>
    <w:rsid w:val="002273AB"/>
    <w:rsid w:val="0023183E"/>
    <w:rsid w:val="00233C0E"/>
    <w:rsid w:val="002345AA"/>
    <w:rsid w:val="00234C28"/>
    <w:rsid w:val="00235138"/>
    <w:rsid w:val="002353BF"/>
    <w:rsid w:val="00235D37"/>
    <w:rsid w:val="002360E9"/>
    <w:rsid w:val="002375B6"/>
    <w:rsid w:val="0024141C"/>
    <w:rsid w:val="00242F7A"/>
    <w:rsid w:val="00243E36"/>
    <w:rsid w:val="0024540B"/>
    <w:rsid w:val="00245EF4"/>
    <w:rsid w:val="00246C38"/>
    <w:rsid w:val="00247B13"/>
    <w:rsid w:val="00250E11"/>
    <w:rsid w:val="00251383"/>
    <w:rsid w:val="002522C9"/>
    <w:rsid w:val="002523D0"/>
    <w:rsid w:val="00252A21"/>
    <w:rsid w:val="00253E4F"/>
    <w:rsid w:val="002540FA"/>
    <w:rsid w:val="002542E4"/>
    <w:rsid w:val="00255187"/>
    <w:rsid w:val="0025724F"/>
    <w:rsid w:val="00257452"/>
    <w:rsid w:val="00257E9F"/>
    <w:rsid w:val="00261053"/>
    <w:rsid w:val="0026188E"/>
    <w:rsid w:val="00262FDE"/>
    <w:rsid w:val="00263629"/>
    <w:rsid w:val="002636FF"/>
    <w:rsid w:val="002639B3"/>
    <w:rsid w:val="00263E47"/>
    <w:rsid w:val="0026512C"/>
    <w:rsid w:val="00265167"/>
    <w:rsid w:val="00265571"/>
    <w:rsid w:val="002705E0"/>
    <w:rsid w:val="00274438"/>
    <w:rsid w:val="00275901"/>
    <w:rsid w:val="002769BD"/>
    <w:rsid w:val="00276A75"/>
    <w:rsid w:val="00277019"/>
    <w:rsid w:val="002809EA"/>
    <w:rsid w:val="00282814"/>
    <w:rsid w:val="00282C98"/>
    <w:rsid w:val="00284962"/>
    <w:rsid w:val="00287B0E"/>
    <w:rsid w:val="00291C58"/>
    <w:rsid w:val="00292DD6"/>
    <w:rsid w:val="00292F01"/>
    <w:rsid w:val="002931F8"/>
    <w:rsid w:val="00295296"/>
    <w:rsid w:val="00297609"/>
    <w:rsid w:val="002A0B53"/>
    <w:rsid w:val="002A0EEF"/>
    <w:rsid w:val="002A264A"/>
    <w:rsid w:val="002A3169"/>
    <w:rsid w:val="002A3E93"/>
    <w:rsid w:val="002A41D4"/>
    <w:rsid w:val="002A578C"/>
    <w:rsid w:val="002A76F9"/>
    <w:rsid w:val="002B1EBE"/>
    <w:rsid w:val="002B2940"/>
    <w:rsid w:val="002B2DF7"/>
    <w:rsid w:val="002B4076"/>
    <w:rsid w:val="002B479B"/>
    <w:rsid w:val="002B6B7B"/>
    <w:rsid w:val="002B7024"/>
    <w:rsid w:val="002C15CE"/>
    <w:rsid w:val="002C1DB1"/>
    <w:rsid w:val="002C2345"/>
    <w:rsid w:val="002C3BF4"/>
    <w:rsid w:val="002C4C35"/>
    <w:rsid w:val="002C749F"/>
    <w:rsid w:val="002D0507"/>
    <w:rsid w:val="002D0AFA"/>
    <w:rsid w:val="002D122E"/>
    <w:rsid w:val="002D20F3"/>
    <w:rsid w:val="002D34C9"/>
    <w:rsid w:val="002D60F1"/>
    <w:rsid w:val="002D6295"/>
    <w:rsid w:val="002D7AF3"/>
    <w:rsid w:val="002E672E"/>
    <w:rsid w:val="002E6C6F"/>
    <w:rsid w:val="002E7B33"/>
    <w:rsid w:val="002F059B"/>
    <w:rsid w:val="002F0EAE"/>
    <w:rsid w:val="002F1259"/>
    <w:rsid w:val="002F3C3B"/>
    <w:rsid w:val="002F5B0B"/>
    <w:rsid w:val="002F7806"/>
    <w:rsid w:val="00300924"/>
    <w:rsid w:val="00301333"/>
    <w:rsid w:val="00301981"/>
    <w:rsid w:val="00304402"/>
    <w:rsid w:val="00304494"/>
    <w:rsid w:val="0030596E"/>
    <w:rsid w:val="003068EF"/>
    <w:rsid w:val="00306B50"/>
    <w:rsid w:val="00306F9C"/>
    <w:rsid w:val="003073C3"/>
    <w:rsid w:val="003078E4"/>
    <w:rsid w:val="00311473"/>
    <w:rsid w:val="00320343"/>
    <w:rsid w:val="00320BE1"/>
    <w:rsid w:val="003216AA"/>
    <w:rsid w:val="00323637"/>
    <w:rsid w:val="003243E2"/>
    <w:rsid w:val="00324E8A"/>
    <w:rsid w:val="00325EB1"/>
    <w:rsid w:val="00325EE4"/>
    <w:rsid w:val="0033112A"/>
    <w:rsid w:val="003313CC"/>
    <w:rsid w:val="003315C4"/>
    <w:rsid w:val="00331A60"/>
    <w:rsid w:val="00331D87"/>
    <w:rsid w:val="00332850"/>
    <w:rsid w:val="00334478"/>
    <w:rsid w:val="003346B4"/>
    <w:rsid w:val="00334AE6"/>
    <w:rsid w:val="0033520E"/>
    <w:rsid w:val="00335F41"/>
    <w:rsid w:val="003365D0"/>
    <w:rsid w:val="00336F42"/>
    <w:rsid w:val="003402CC"/>
    <w:rsid w:val="00342134"/>
    <w:rsid w:val="00343183"/>
    <w:rsid w:val="0034337A"/>
    <w:rsid w:val="003439AB"/>
    <w:rsid w:val="0035034C"/>
    <w:rsid w:val="003517A2"/>
    <w:rsid w:val="00353523"/>
    <w:rsid w:val="0035394F"/>
    <w:rsid w:val="00354695"/>
    <w:rsid w:val="0035549B"/>
    <w:rsid w:val="00355FCE"/>
    <w:rsid w:val="00356E98"/>
    <w:rsid w:val="00357282"/>
    <w:rsid w:val="00360A96"/>
    <w:rsid w:val="003639E6"/>
    <w:rsid w:val="00364729"/>
    <w:rsid w:val="00366B09"/>
    <w:rsid w:val="00366E1D"/>
    <w:rsid w:val="00367661"/>
    <w:rsid w:val="003707B0"/>
    <w:rsid w:val="003724A5"/>
    <w:rsid w:val="00373C49"/>
    <w:rsid w:val="0037476C"/>
    <w:rsid w:val="003747C9"/>
    <w:rsid w:val="00374DB7"/>
    <w:rsid w:val="003755C8"/>
    <w:rsid w:val="00375687"/>
    <w:rsid w:val="003769B8"/>
    <w:rsid w:val="00377D93"/>
    <w:rsid w:val="00380AE0"/>
    <w:rsid w:val="0038128D"/>
    <w:rsid w:val="0038244E"/>
    <w:rsid w:val="00383324"/>
    <w:rsid w:val="00387A75"/>
    <w:rsid w:val="003904FD"/>
    <w:rsid w:val="00392A25"/>
    <w:rsid w:val="00393B1B"/>
    <w:rsid w:val="00394254"/>
    <w:rsid w:val="003A043A"/>
    <w:rsid w:val="003A13FE"/>
    <w:rsid w:val="003A3669"/>
    <w:rsid w:val="003A3D46"/>
    <w:rsid w:val="003B05C8"/>
    <w:rsid w:val="003B4881"/>
    <w:rsid w:val="003B540F"/>
    <w:rsid w:val="003B56D9"/>
    <w:rsid w:val="003B6451"/>
    <w:rsid w:val="003B7000"/>
    <w:rsid w:val="003C14DB"/>
    <w:rsid w:val="003C2BFB"/>
    <w:rsid w:val="003C3DD7"/>
    <w:rsid w:val="003C436B"/>
    <w:rsid w:val="003C4561"/>
    <w:rsid w:val="003C5337"/>
    <w:rsid w:val="003C5F92"/>
    <w:rsid w:val="003C6563"/>
    <w:rsid w:val="003D08C3"/>
    <w:rsid w:val="003D0B95"/>
    <w:rsid w:val="003D2734"/>
    <w:rsid w:val="003D3EB9"/>
    <w:rsid w:val="003D48D6"/>
    <w:rsid w:val="003D7737"/>
    <w:rsid w:val="003D7A8C"/>
    <w:rsid w:val="003D7BD0"/>
    <w:rsid w:val="003D7C00"/>
    <w:rsid w:val="003E0EEB"/>
    <w:rsid w:val="003E3819"/>
    <w:rsid w:val="003E418A"/>
    <w:rsid w:val="003E56E5"/>
    <w:rsid w:val="003E6473"/>
    <w:rsid w:val="003E7E60"/>
    <w:rsid w:val="003F00D4"/>
    <w:rsid w:val="003F0794"/>
    <w:rsid w:val="003F20F5"/>
    <w:rsid w:val="003F2209"/>
    <w:rsid w:val="003F2E5F"/>
    <w:rsid w:val="003F3025"/>
    <w:rsid w:val="003F3CAE"/>
    <w:rsid w:val="003F3D39"/>
    <w:rsid w:val="003F5AF0"/>
    <w:rsid w:val="003F646A"/>
    <w:rsid w:val="003F6761"/>
    <w:rsid w:val="003F6A0A"/>
    <w:rsid w:val="003F733A"/>
    <w:rsid w:val="004009D3"/>
    <w:rsid w:val="00401284"/>
    <w:rsid w:val="004024F5"/>
    <w:rsid w:val="00402682"/>
    <w:rsid w:val="00402DE1"/>
    <w:rsid w:val="004030FB"/>
    <w:rsid w:val="0040399F"/>
    <w:rsid w:val="00403D8B"/>
    <w:rsid w:val="004040B8"/>
    <w:rsid w:val="004058F1"/>
    <w:rsid w:val="00407E7D"/>
    <w:rsid w:val="00410440"/>
    <w:rsid w:val="0041099A"/>
    <w:rsid w:val="00410D94"/>
    <w:rsid w:val="0041283D"/>
    <w:rsid w:val="00413AB4"/>
    <w:rsid w:val="00416FD1"/>
    <w:rsid w:val="004170AD"/>
    <w:rsid w:val="00420C42"/>
    <w:rsid w:val="00420E43"/>
    <w:rsid w:val="00421373"/>
    <w:rsid w:val="00421B65"/>
    <w:rsid w:val="00421F30"/>
    <w:rsid w:val="00421FB7"/>
    <w:rsid w:val="004224BD"/>
    <w:rsid w:val="004239F5"/>
    <w:rsid w:val="00424830"/>
    <w:rsid w:val="00424A92"/>
    <w:rsid w:val="0042763B"/>
    <w:rsid w:val="004279E3"/>
    <w:rsid w:val="0043024C"/>
    <w:rsid w:val="00430770"/>
    <w:rsid w:val="004309AB"/>
    <w:rsid w:val="00436706"/>
    <w:rsid w:val="004422BB"/>
    <w:rsid w:val="00443D38"/>
    <w:rsid w:val="0045040C"/>
    <w:rsid w:val="00450E7A"/>
    <w:rsid w:val="00452507"/>
    <w:rsid w:val="00452A42"/>
    <w:rsid w:val="00456AF8"/>
    <w:rsid w:val="004603E5"/>
    <w:rsid w:val="004607DC"/>
    <w:rsid w:val="00463D1F"/>
    <w:rsid w:val="00464AE6"/>
    <w:rsid w:val="0046632A"/>
    <w:rsid w:val="00467A18"/>
    <w:rsid w:val="00467D4F"/>
    <w:rsid w:val="00470314"/>
    <w:rsid w:val="00470B15"/>
    <w:rsid w:val="00472722"/>
    <w:rsid w:val="004736B0"/>
    <w:rsid w:val="004740EF"/>
    <w:rsid w:val="00475869"/>
    <w:rsid w:val="004758A3"/>
    <w:rsid w:val="00475A77"/>
    <w:rsid w:val="00475FE5"/>
    <w:rsid w:val="004765F8"/>
    <w:rsid w:val="0048015A"/>
    <w:rsid w:val="00480C71"/>
    <w:rsid w:val="00482BE3"/>
    <w:rsid w:val="00484971"/>
    <w:rsid w:val="004866A9"/>
    <w:rsid w:val="00492774"/>
    <w:rsid w:val="004932C7"/>
    <w:rsid w:val="00494BC1"/>
    <w:rsid w:val="00495A1C"/>
    <w:rsid w:val="00496326"/>
    <w:rsid w:val="00496D7A"/>
    <w:rsid w:val="004A1721"/>
    <w:rsid w:val="004A27CF"/>
    <w:rsid w:val="004A31BC"/>
    <w:rsid w:val="004A3F1A"/>
    <w:rsid w:val="004A3F45"/>
    <w:rsid w:val="004A5287"/>
    <w:rsid w:val="004A5738"/>
    <w:rsid w:val="004A5B6C"/>
    <w:rsid w:val="004A6241"/>
    <w:rsid w:val="004A73BD"/>
    <w:rsid w:val="004A7415"/>
    <w:rsid w:val="004B0B98"/>
    <w:rsid w:val="004B1634"/>
    <w:rsid w:val="004B1AFA"/>
    <w:rsid w:val="004B2AF1"/>
    <w:rsid w:val="004B5BBB"/>
    <w:rsid w:val="004B646A"/>
    <w:rsid w:val="004B7088"/>
    <w:rsid w:val="004C1B60"/>
    <w:rsid w:val="004C245F"/>
    <w:rsid w:val="004C24BD"/>
    <w:rsid w:val="004C3E00"/>
    <w:rsid w:val="004C4D12"/>
    <w:rsid w:val="004C58AB"/>
    <w:rsid w:val="004C5B76"/>
    <w:rsid w:val="004D02CD"/>
    <w:rsid w:val="004D0338"/>
    <w:rsid w:val="004D0B24"/>
    <w:rsid w:val="004D2091"/>
    <w:rsid w:val="004D20B2"/>
    <w:rsid w:val="004D300A"/>
    <w:rsid w:val="004D3015"/>
    <w:rsid w:val="004D4459"/>
    <w:rsid w:val="004D4B90"/>
    <w:rsid w:val="004D662A"/>
    <w:rsid w:val="004D6B95"/>
    <w:rsid w:val="004D7F41"/>
    <w:rsid w:val="004E007C"/>
    <w:rsid w:val="004E03A2"/>
    <w:rsid w:val="004E317E"/>
    <w:rsid w:val="004E3954"/>
    <w:rsid w:val="004E462A"/>
    <w:rsid w:val="004E5856"/>
    <w:rsid w:val="004E7D9D"/>
    <w:rsid w:val="004F1A4D"/>
    <w:rsid w:val="004F1EC2"/>
    <w:rsid w:val="004F2330"/>
    <w:rsid w:val="004F2D44"/>
    <w:rsid w:val="004F53C6"/>
    <w:rsid w:val="004F55C6"/>
    <w:rsid w:val="004F69DB"/>
    <w:rsid w:val="004F6B87"/>
    <w:rsid w:val="00501C2D"/>
    <w:rsid w:val="00502637"/>
    <w:rsid w:val="00502C41"/>
    <w:rsid w:val="00503681"/>
    <w:rsid w:val="00505EA5"/>
    <w:rsid w:val="005063D2"/>
    <w:rsid w:val="0050791D"/>
    <w:rsid w:val="005102F4"/>
    <w:rsid w:val="00511140"/>
    <w:rsid w:val="00511417"/>
    <w:rsid w:val="0051222E"/>
    <w:rsid w:val="00513ACD"/>
    <w:rsid w:val="00513CFE"/>
    <w:rsid w:val="00516306"/>
    <w:rsid w:val="005171D3"/>
    <w:rsid w:val="00517F6A"/>
    <w:rsid w:val="00520616"/>
    <w:rsid w:val="00523B28"/>
    <w:rsid w:val="00523B6A"/>
    <w:rsid w:val="005251A5"/>
    <w:rsid w:val="00525F6C"/>
    <w:rsid w:val="0053024B"/>
    <w:rsid w:val="005304C5"/>
    <w:rsid w:val="00533D8A"/>
    <w:rsid w:val="00537E2F"/>
    <w:rsid w:val="00541585"/>
    <w:rsid w:val="00542596"/>
    <w:rsid w:val="00543539"/>
    <w:rsid w:val="0054426E"/>
    <w:rsid w:val="00545D68"/>
    <w:rsid w:val="00546916"/>
    <w:rsid w:val="00546AB4"/>
    <w:rsid w:val="0055075B"/>
    <w:rsid w:val="00550962"/>
    <w:rsid w:val="005514E5"/>
    <w:rsid w:val="005519F0"/>
    <w:rsid w:val="00552F21"/>
    <w:rsid w:val="00552FDC"/>
    <w:rsid w:val="005563A8"/>
    <w:rsid w:val="00557617"/>
    <w:rsid w:val="005624F3"/>
    <w:rsid w:val="00563570"/>
    <w:rsid w:val="00563C84"/>
    <w:rsid w:val="005643E9"/>
    <w:rsid w:val="0056526F"/>
    <w:rsid w:val="00566324"/>
    <w:rsid w:val="00566A5E"/>
    <w:rsid w:val="005672ED"/>
    <w:rsid w:val="0057006F"/>
    <w:rsid w:val="00571925"/>
    <w:rsid w:val="00571A65"/>
    <w:rsid w:val="00573B8A"/>
    <w:rsid w:val="0057588E"/>
    <w:rsid w:val="00576085"/>
    <w:rsid w:val="005762F6"/>
    <w:rsid w:val="00577834"/>
    <w:rsid w:val="005808BA"/>
    <w:rsid w:val="00581022"/>
    <w:rsid w:val="00583046"/>
    <w:rsid w:val="005837AF"/>
    <w:rsid w:val="0058477A"/>
    <w:rsid w:val="00584FBE"/>
    <w:rsid w:val="00585483"/>
    <w:rsid w:val="005856DF"/>
    <w:rsid w:val="00586481"/>
    <w:rsid w:val="00587378"/>
    <w:rsid w:val="00587C05"/>
    <w:rsid w:val="00590AAB"/>
    <w:rsid w:val="00591337"/>
    <w:rsid w:val="005923E5"/>
    <w:rsid w:val="005938C3"/>
    <w:rsid w:val="0059468C"/>
    <w:rsid w:val="00594746"/>
    <w:rsid w:val="00595041"/>
    <w:rsid w:val="005950F8"/>
    <w:rsid w:val="00595125"/>
    <w:rsid w:val="00596F21"/>
    <w:rsid w:val="005A28A6"/>
    <w:rsid w:val="005A3C58"/>
    <w:rsid w:val="005A45CC"/>
    <w:rsid w:val="005A5BE7"/>
    <w:rsid w:val="005A62EB"/>
    <w:rsid w:val="005A6F32"/>
    <w:rsid w:val="005B053C"/>
    <w:rsid w:val="005B1CDD"/>
    <w:rsid w:val="005B1E19"/>
    <w:rsid w:val="005B26F2"/>
    <w:rsid w:val="005B313D"/>
    <w:rsid w:val="005B482D"/>
    <w:rsid w:val="005B55FC"/>
    <w:rsid w:val="005C04CF"/>
    <w:rsid w:val="005C1171"/>
    <w:rsid w:val="005C2D5E"/>
    <w:rsid w:val="005C3B81"/>
    <w:rsid w:val="005C650C"/>
    <w:rsid w:val="005C6DFD"/>
    <w:rsid w:val="005D086C"/>
    <w:rsid w:val="005D11D3"/>
    <w:rsid w:val="005D1664"/>
    <w:rsid w:val="005D4E1F"/>
    <w:rsid w:val="005D4FB3"/>
    <w:rsid w:val="005D7490"/>
    <w:rsid w:val="005E01EB"/>
    <w:rsid w:val="005E2C54"/>
    <w:rsid w:val="005E2F07"/>
    <w:rsid w:val="005E2FEA"/>
    <w:rsid w:val="005E3D2A"/>
    <w:rsid w:val="005E66DE"/>
    <w:rsid w:val="005E7108"/>
    <w:rsid w:val="005E7348"/>
    <w:rsid w:val="005F314B"/>
    <w:rsid w:val="005F3966"/>
    <w:rsid w:val="005F6B86"/>
    <w:rsid w:val="005F7E1D"/>
    <w:rsid w:val="00601C5D"/>
    <w:rsid w:val="006053EC"/>
    <w:rsid w:val="00611AF2"/>
    <w:rsid w:val="0061212B"/>
    <w:rsid w:val="00612658"/>
    <w:rsid w:val="006127AF"/>
    <w:rsid w:val="006134FA"/>
    <w:rsid w:val="00613A98"/>
    <w:rsid w:val="00615FB2"/>
    <w:rsid w:val="006166C7"/>
    <w:rsid w:val="0061779A"/>
    <w:rsid w:val="00617BD1"/>
    <w:rsid w:val="00617CE8"/>
    <w:rsid w:val="00621391"/>
    <w:rsid w:val="00622782"/>
    <w:rsid w:val="00625A16"/>
    <w:rsid w:val="006278A0"/>
    <w:rsid w:val="00627AFB"/>
    <w:rsid w:val="0063095F"/>
    <w:rsid w:val="00630A86"/>
    <w:rsid w:val="00631CBD"/>
    <w:rsid w:val="00632943"/>
    <w:rsid w:val="00633E03"/>
    <w:rsid w:val="00634D8F"/>
    <w:rsid w:val="00635041"/>
    <w:rsid w:val="0063704F"/>
    <w:rsid w:val="00644F42"/>
    <w:rsid w:val="00646AC2"/>
    <w:rsid w:val="00647B41"/>
    <w:rsid w:val="00650390"/>
    <w:rsid w:val="0065253E"/>
    <w:rsid w:val="0065360A"/>
    <w:rsid w:val="006545E3"/>
    <w:rsid w:val="00654DAB"/>
    <w:rsid w:val="00654FAD"/>
    <w:rsid w:val="006579DF"/>
    <w:rsid w:val="0066062F"/>
    <w:rsid w:val="0066094D"/>
    <w:rsid w:val="0066204A"/>
    <w:rsid w:val="00662F06"/>
    <w:rsid w:val="00663F7A"/>
    <w:rsid w:val="00665BB0"/>
    <w:rsid w:val="00670E3C"/>
    <w:rsid w:val="0067115A"/>
    <w:rsid w:val="00675045"/>
    <w:rsid w:val="00676BDC"/>
    <w:rsid w:val="00677F57"/>
    <w:rsid w:val="00677F5E"/>
    <w:rsid w:val="00680F27"/>
    <w:rsid w:val="00681088"/>
    <w:rsid w:val="006859E1"/>
    <w:rsid w:val="006862F4"/>
    <w:rsid w:val="00691780"/>
    <w:rsid w:val="006931FC"/>
    <w:rsid w:val="00693211"/>
    <w:rsid w:val="00693EBB"/>
    <w:rsid w:val="006949BC"/>
    <w:rsid w:val="0069577E"/>
    <w:rsid w:val="0069634B"/>
    <w:rsid w:val="00696623"/>
    <w:rsid w:val="006969D2"/>
    <w:rsid w:val="006A04E9"/>
    <w:rsid w:val="006A05F1"/>
    <w:rsid w:val="006A1883"/>
    <w:rsid w:val="006A2394"/>
    <w:rsid w:val="006A4A03"/>
    <w:rsid w:val="006A552C"/>
    <w:rsid w:val="006A5716"/>
    <w:rsid w:val="006A62C6"/>
    <w:rsid w:val="006A6C3F"/>
    <w:rsid w:val="006A7543"/>
    <w:rsid w:val="006A7885"/>
    <w:rsid w:val="006B0E34"/>
    <w:rsid w:val="006B10C4"/>
    <w:rsid w:val="006B1631"/>
    <w:rsid w:val="006B41C5"/>
    <w:rsid w:val="006B5833"/>
    <w:rsid w:val="006B725C"/>
    <w:rsid w:val="006C273D"/>
    <w:rsid w:val="006C44C8"/>
    <w:rsid w:val="006C5C4F"/>
    <w:rsid w:val="006C5DFE"/>
    <w:rsid w:val="006C6282"/>
    <w:rsid w:val="006C6589"/>
    <w:rsid w:val="006C762A"/>
    <w:rsid w:val="006C77D8"/>
    <w:rsid w:val="006D1A4A"/>
    <w:rsid w:val="006D5FF9"/>
    <w:rsid w:val="006D64EE"/>
    <w:rsid w:val="006E0115"/>
    <w:rsid w:val="006E0772"/>
    <w:rsid w:val="006E08C2"/>
    <w:rsid w:val="006E0BD1"/>
    <w:rsid w:val="006E0F86"/>
    <w:rsid w:val="006E1BB0"/>
    <w:rsid w:val="006E3202"/>
    <w:rsid w:val="006E7F7D"/>
    <w:rsid w:val="006F078F"/>
    <w:rsid w:val="006F0B15"/>
    <w:rsid w:val="006F0DCC"/>
    <w:rsid w:val="006F1DB7"/>
    <w:rsid w:val="006F20CC"/>
    <w:rsid w:val="006F4EC2"/>
    <w:rsid w:val="006F6A07"/>
    <w:rsid w:val="006F6BA5"/>
    <w:rsid w:val="007025E7"/>
    <w:rsid w:val="00703DF9"/>
    <w:rsid w:val="007048EB"/>
    <w:rsid w:val="00704FBB"/>
    <w:rsid w:val="00705FB2"/>
    <w:rsid w:val="00706490"/>
    <w:rsid w:val="0070726A"/>
    <w:rsid w:val="007103B1"/>
    <w:rsid w:val="00710E88"/>
    <w:rsid w:val="0071226B"/>
    <w:rsid w:val="00713ED8"/>
    <w:rsid w:val="00715A56"/>
    <w:rsid w:val="00717040"/>
    <w:rsid w:val="007208B7"/>
    <w:rsid w:val="007214B0"/>
    <w:rsid w:val="007215B8"/>
    <w:rsid w:val="00724465"/>
    <w:rsid w:val="00724ED4"/>
    <w:rsid w:val="00724F1B"/>
    <w:rsid w:val="00725999"/>
    <w:rsid w:val="00730174"/>
    <w:rsid w:val="007309B0"/>
    <w:rsid w:val="00731825"/>
    <w:rsid w:val="007359FB"/>
    <w:rsid w:val="00735EAA"/>
    <w:rsid w:val="00736A9D"/>
    <w:rsid w:val="00737DA6"/>
    <w:rsid w:val="00741131"/>
    <w:rsid w:val="00741485"/>
    <w:rsid w:val="007431BE"/>
    <w:rsid w:val="0074339F"/>
    <w:rsid w:val="0075001D"/>
    <w:rsid w:val="00752AA2"/>
    <w:rsid w:val="00752C43"/>
    <w:rsid w:val="00752FE1"/>
    <w:rsid w:val="00753923"/>
    <w:rsid w:val="007548B4"/>
    <w:rsid w:val="00756483"/>
    <w:rsid w:val="00760341"/>
    <w:rsid w:val="007603AC"/>
    <w:rsid w:val="00760A1A"/>
    <w:rsid w:val="007622A7"/>
    <w:rsid w:val="00762481"/>
    <w:rsid w:val="00762F32"/>
    <w:rsid w:val="007655E0"/>
    <w:rsid w:val="00766932"/>
    <w:rsid w:val="00770437"/>
    <w:rsid w:val="007715B7"/>
    <w:rsid w:val="007716F9"/>
    <w:rsid w:val="00771A72"/>
    <w:rsid w:val="007750A2"/>
    <w:rsid w:val="007756EA"/>
    <w:rsid w:val="00775C78"/>
    <w:rsid w:val="0077761B"/>
    <w:rsid w:val="00777B16"/>
    <w:rsid w:val="00777CAA"/>
    <w:rsid w:val="007807D5"/>
    <w:rsid w:val="007817D6"/>
    <w:rsid w:val="00781E1C"/>
    <w:rsid w:val="00785CE5"/>
    <w:rsid w:val="00786DA7"/>
    <w:rsid w:val="00786E7B"/>
    <w:rsid w:val="00787912"/>
    <w:rsid w:val="00791066"/>
    <w:rsid w:val="0079177A"/>
    <w:rsid w:val="00791A5A"/>
    <w:rsid w:val="00794836"/>
    <w:rsid w:val="007948D5"/>
    <w:rsid w:val="00795E79"/>
    <w:rsid w:val="007978F5"/>
    <w:rsid w:val="007A09A4"/>
    <w:rsid w:val="007A100C"/>
    <w:rsid w:val="007A1367"/>
    <w:rsid w:val="007A15C9"/>
    <w:rsid w:val="007A33A4"/>
    <w:rsid w:val="007A3D34"/>
    <w:rsid w:val="007A6676"/>
    <w:rsid w:val="007A686B"/>
    <w:rsid w:val="007A69C9"/>
    <w:rsid w:val="007A7987"/>
    <w:rsid w:val="007B4FE9"/>
    <w:rsid w:val="007B57E9"/>
    <w:rsid w:val="007B5F8A"/>
    <w:rsid w:val="007B7FF5"/>
    <w:rsid w:val="007C3FC6"/>
    <w:rsid w:val="007C4372"/>
    <w:rsid w:val="007C769A"/>
    <w:rsid w:val="007C78B3"/>
    <w:rsid w:val="007D0C28"/>
    <w:rsid w:val="007D2CE9"/>
    <w:rsid w:val="007D3976"/>
    <w:rsid w:val="007D4097"/>
    <w:rsid w:val="007D412B"/>
    <w:rsid w:val="007D4FED"/>
    <w:rsid w:val="007D5368"/>
    <w:rsid w:val="007D69DA"/>
    <w:rsid w:val="007D70B1"/>
    <w:rsid w:val="007D7140"/>
    <w:rsid w:val="007E1CDB"/>
    <w:rsid w:val="007E2831"/>
    <w:rsid w:val="007E408C"/>
    <w:rsid w:val="007E50BF"/>
    <w:rsid w:val="007E56E2"/>
    <w:rsid w:val="007E5C18"/>
    <w:rsid w:val="007E7E21"/>
    <w:rsid w:val="007F0460"/>
    <w:rsid w:val="007F0DA2"/>
    <w:rsid w:val="007F1D9D"/>
    <w:rsid w:val="007F31CD"/>
    <w:rsid w:val="007F39CE"/>
    <w:rsid w:val="007F3A40"/>
    <w:rsid w:val="007F55C5"/>
    <w:rsid w:val="007F5E0D"/>
    <w:rsid w:val="00801085"/>
    <w:rsid w:val="008011A2"/>
    <w:rsid w:val="00801A89"/>
    <w:rsid w:val="00801CAE"/>
    <w:rsid w:val="008031EB"/>
    <w:rsid w:val="00804457"/>
    <w:rsid w:val="0080515D"/>
    <w:rsid w:val="008064C9"/>
    <w:rsid w:val="00806C22"/>
    <w:rsid w:val="00812138"/>
    <w:rsid w:val="00813063"/>
    <w:rsid w:val="00814273"/>
    <w:rsid w:val="008151F2"/>
    <w:rsid w:val="008162C6"/>
    <w:rsid w:val="00816429"/>
    <w:rsid w:val="0081777A"/>
    <w:rsid w:val="00817C8A"/>
    <w:rsid w:val="00820B5D"/>
    <w:rsid w:val="008210E0"/>
    <w:rsid w:val="00821963"/>
    <w:rsid w:val="008219AF"/>
    <w:rsid w:val="0082343E"/>
    <w:rsid w:val="008237B7"/>
    <w:rsid w:val="00823994"/>
    <w:rsid w:val="00824079"/>
    <w:rsid w:val="00826D76"/>
    <w:rsid w:val="00827B7A"/>
    <w:rsid w:val="00827C6E"/>
    <w:rsid w:val="00830E2B"/>
    <w:rsid w:val="00831F0A"/>
    <w:rsid w:val="008327AB"/>
    <w:rsid w:val="00833A78"/>
    <w:rsid w:val="00835897"/>
    <w:rsid w:val="00835915"/>
    <w:rsid w:val="00836949"/>
    <w:rsid w:val="00837D82"/>
    <w:rsid w:val="0084585F"/>
    <w:rsid w:val="00845E81"/>
    <w:rsid w:val="00847515"/>
    <w:rsid w:val="00847F74"/>
    <w:rsid w:val="008538C5"/>
    <w:rsid w:val="00853E53"/>
    <w:rsid w:val="00854ACF"/>
    <w:rsid w:val="0085535C"/>
    <w:rsid w:val="0085662C"/>
    <w:rsid w:val="00860627"/>
    <w:rsid w:val="008619C5"/>
    <w:rsid w:val="00863AE8"/>
    <w:rsid w:val="00864D76"/>
    <w:rsid w:val="00864FA8"/>
    <w:rsid w:val="008656C9"/>
    <w:rsid w:val="0086711C"/>
    <w:rsid w:val="00867535"/>
    <w:rsid w:val="00870D67"/>
    <w:rsid w:val="00875C5B"/>
    <w:rsid w:val="00880A76"/>
    <w:rsid w:val="0088129C"/>
    <w:rsid w:val="008825B6"/>
    <w:rsid w:val="00883C5F"/>
    <w:rsid w:val="00883DEC"/>
    <w:rsid w:val="008856CA"/>
    <w:rsid w:val="008873AC"/>
    <w:rsid w:val="00890A23"/>
    <w:rsid w:val="00890D78"/>
    <w:rsid w:val="00890E95"/>
    <w:rsid w:val="00891C7D"/>
    <w:rsid w:val="00892FA7"/>
    <w:rsid w:val="0089693B"/>
    <w:rsid w:val="008A21D4"/>
    <w:rsid w:val="008A3301"/>
    <w:rsid w:val="008A3A2C"/>
    <w:rsid w:val="008A4DF1"/>
    <w:rsid w:val="008A5636"/>
    <w:rsid w:val="008A7135"/>
    <w:rsid w:val="008A7780"/>
    <w:rsid w:val="008B125E"/>
    <w:rsid w:val="008B19BD"/>
    <w:rsid w:val="008B22CB"/>
    <w:rsid w:val="008B241C"/>
    <w:rsid w:val="008B408B"/>
    <w:rsid w:val="008B44D2"/>
    <w:rsid w:val="008B4F11"/>
    <w:rsid w:val="008B5D91"/>
    <w:rsid w:val="008C159F"/>
    <w:rsid w:val="008C2362"/>
    <w:rsid w:val="008C2F54"/>
    <w:rsid w:val="008C3049"/>
    <w:rsid w:val="008C6503"/>
    <w:rsid w:val="008C6514"/>
    <w:rsid w:val="008C74D9"/>
    <w:rsid w:val="008D11A0"/>
    <w:rsid w:val="008D271A"/>
    <w:rsid w:val="008D34AA"/>
    <w:rsid w:val="008D4AE9"/>
    <w:rsid w:val="008D584E"/>
    <w:rsid w:val="008D5CF3"/>
    <w:rsid w:val="008D7D39"/>
    <w:rsid w:val="008E0AA7"/>
    <w:rsid w:val="008E4574"/>
    <w:rsid w:val="008E5B8E"/>
    <w:rsid w:val="008E6B26"/>
    <w:rsid w:val="008F1FAB"/>
    <w:rsid w:val="008F34FC"/>
    <w:rsid w:val="008F3C37"/>
    <w:rsid w:val="008F3CDF"/>
    <w:rsid w:val="008F4016"/>
    <w:rsid w:val="008F42FE"/>
    <w:rsid w:val="008F4453"/>
    <w:rsid w:val="008F4A00"/>
    <w:rsid w:val="008F5402"/>
    <w:rsid w:val="0090053A"/>
    <w:rsid w:val="00901C2A"/>
    <w:rsid w:val="00901F13"/>
    <w:rsid w:val="00910B44"/>
    <w:rsid w:val="009118C7"/>
    <w:rsid w:val="0091245D"/>
    <w:rsid w:val="009156EE"/>
    <w:rsid w:val="009175C5"/>
    <w:rsid w:val="00921BD3"/>
    <w:rsid w:val="009225AF"/>
    <w:rsid w:val="009225B6"/>
    <w:rsid w:val="00925397"/>
    <w:rsid w:val="009274E3"/>
    <w:rsid w:val="00927706"/>
    <w:rsid w:val="00931640"/>
    <w:rsid w:val="00932E27"/>
    <w:rsid w:val="00933A21"/>
    <w:rsid w:val="00934C10"/>
    <w:rsid w:val="00934EF1"/>
    <w:rsid w:val="00935D26"/>
    <w:rsid w:val="00935F76"/>
    <w:rsid w:val="0093662A"/>
    <w:rsid w:val="00937BDD"/>
    <w:rsid w:val="0094060C"/>
    <w:rsid w:val="00942B12"/>
    <w:rsid w:val="00942C4B"/>
    <w:rsid w:val="00943607"/>
    <w:rsid w:val="00944196"/>
    <w:rsid w:val="009446BE"/>
    <w:rsid w:val="009559DB"/>
    <w:rsid w:val="009561D5"/>
    <w:rsid w:val="009606A5"/>
    <w:rsid w:val="009626AA"/>
    <w:rsid w:val="00962BCC"/>
    <w:rsid w:val="00962F1F"/>
    <w:rsid w:val="00964691"/>
    <w:rsid w:val="00965304"/>
    <w:rsid w:val="009671E1"/>
    <w:rsid w:val="00971293"/>
    <w:rsid w:val="00971383"/>
    <w:rsid w:val="0097243C"/>
    <w:rsid w:val="00972B53"/>
    <w:rsid w:val="00973A3B"/>
    <w:rsid w:val="009778FC"/>
    <w:rsid w:val="00977DF1"/>
    <w:rsid w:val="00980984"/>
    <w:rsid w:val="0098113E"/>
    <w:rsid w:val="00981962"/>
    <w:rsid w:val="00983EAE"/>
    <w:rsid w:val="0098448D"/>
    <w:rsid w:val="0098760B"/>
    <w:rsid w:val="00987C49"/>
    <w:rsid w:val="00990377"/>
    <w:rsid w:val="00990D8F"/>
    <w:rsid w:val="00991F95"/>
    <w:rsid w:val="00995230"/>
    <w:rsid w:val="00996472"/>
    <w:rsid w:val="009969D5"/>
    <w:rsid w:val="0099793B"/>
    <w:rsid w:val="009A11DD"/>
    <w:rsid w:val="009A1650"/>
    <w:rsid w:val="009A35C9"/>
    <w:rsid w:val="009A6BC0"/>
    <w:rsid w:val="009A718E"/>
    <w:rsid w:val="009A7A4F"/>
    <w:rsid w:val="009B25E7"/>
    <w:rsid w:val="009B278F"/>
    <w:rsid w:val="009B30AA"/>
    <w:rsid w:val="009B3866"/>
    <w:rsid w:val="009B5217"/>
    <w:rsid w:val="009B5D6C"/>
    <w:rsid w:val="009C01A5"/>
    <w:rsid w:val="009C3B71"/>
    <w:rsid w:val="009C3D88"/>
    <w:rsid w:val="009C3EB2"/>
    <w:rsid w:val="009C48DE"/>
    <w:rsid w:val="009D09F5"/>
    <w:rsid w:val="009D0DD5"/>
    <w:rsid w:val="009D36B7"/>
    <w:rsid w:val="009D5D09"/>
    <w:rsid w:val="009D60D9"/>
    <w:rsid w:val="009D643E"/>
    <w:rsid w:val="009D7D00"/>
    <w:rsid w:val="009D7DB0"/>
    <w:rsid w:val="009E0DDC"/>
    <w:rsid w:val="009E1E1E"/>
    <w:rsid w:val="009E33E3"/>
    <w:rsid w:val="009E455F"/>
    <w:rsid w:val="009E6D5F"/>
    <w:rsid w:val="009E6F9C"/>
    <w:rsid w:val="009E7E77"/>
    <w:rsid w:val="009E7F16"/>
    <w:rsid w:val="009F0A9E"/>
    <w:rsid w:val="009F1AF7"/>
    <w:rsid w:val="009F1E65"/>
    <w:rsid w:val="009F3AB7"/>
    <w:rsid w:val="009F5052"/>
    <w:rsid w:val="009F58FE"/>
    <w:rsid w:val="009F5F89"/>
    <w:rsid w:val="009F6F92"/>
    <w:rsid w:val="009F6F95"/>
    <w:rsid w:val="00A02AEA"/>
    <w:rsid w:val="00A03083"/>
    <w:rsid w:val="00A03AB4"/>
    <w:rsid w:val="00A04C85"/>
    <w:rsid w:val="00A05025"/>
    <w:rsid w:val="00A064EB"/>
    <w:rsid w:val="00A06852"/>
    <w:rsid w:val="00A06D22"/>
    <w:rsid w:val="00A07D67"/>
    <w:rsid w:val="00A100F0"/>
    <w:rsid w:val="00A128DF"/>
    <w:rsid w:val="00A14BDC"/>
    <w:rsid w:val="00A156E6"/>
    <w:rsid w:val="00A177C5"/>
    <w:rsid w:val="00A2054A"/>
    <w:rsid w:val="00A20B20"/>
    <w:rsid w:val="00A2269C"/>
    <w:rsid w:val="00A2442A"/>
    <w:rsid w:val="00A24E7A"/>
    <w:rsid w:val="00A25166"/>
    <w:rsid w:val="00A25900"/>
    <w:rsid w:val="00A25A9C"/>
    <w:rsid w:val="00A26B87"/>
    <w:rsid w:val="00A27D86"/>
    <w:rsid w:val="00A30A3D"/>
    <w:rsid w:val="00A31F2A"/>
    <w:rsid w:val="00A33151"/>
    <w:rsid w:val="00A34085"/>
    <w:rsid w:val="00A34692"/>
    <w:rsid w:val="00A34FA4"/>
    <w:rsid w:val="00A35A84"/>
    <w:rsid w:val="00A36970"/>
    <w:rsid w:val="00A36D24"/>
    <w:rsid w:val="00A41EB4"/>
    <w:rsid w:val="00A4368E"/>
    <w:rsid w:val="00A43C1D"/>
    <w:rsid w:val="00A44BFF"/>
    <w:rsid w:val="00A5007A"/>
    <w:rsid w:val="00A501E3"/>
    <w:rsid w:val="00A50F0C"/>
    <w:rsid w:val="00A53D5A"/>
    <w:rsid w:val="00A54BBC"/>
    <w:rsid w:val="00A56441"/>
    <w:rsid w:val="00A56973"/>
    <w:rsid w:val="00A608BC"/>
    <w:rsid w:val="00A630FA"/>
    <w:rsid w:val="00A63AB3"/>
    <w:rsid w:val="00A668CC"/>
    <w:rsid w:val="00A7065F"/>
    <w:rsid w:val="00A71F21"/>
    <w:rsid w:val="00A736DD"/>
    <w:rsid w:val="00A7480C"/>
    <w:rsid w:val="00A76330"/>
    <w:rsid w:val="00A805AA"/>
    <w:rsid w:val="00A81F48"/>
    <w:rsid w:val="00A82869"/>
    <w:rsid w:val="00A83FD5"/>
    <w:rsid w:val="00A854C0"/>
    <w:rsid w:val="00A8758C"/>
    <w:rsid w:val="00A90B16"/>
    <w:rsid w:val="00A90D95"/>
    <w:rsid w:val="00A93BDC"/>
    <w:rsid w:val="00A93C67"/>
    <w:rsid w:val="00A95613"/>
    <w:rsid w:val="00A97098"/>
    <w:rsid w:val="00AA127E"/>
    <w:rsid w:val="00AA1293"/>
    <w:rsid w:val="00AA19AE"/>
    <w:rsid w:val="00AA2A8B"/>
    <w:rsid w:val="00AA4071"/>
    <w:rsid w:val="00AA423D"/>
    <w:rsid w:val="00AA6A95"/>
    <w:rsid w:val="00AB0BF9"/>
    <w:rsid w:val="00AB10DE"/>
    <w:rsid w:val="00AB2F12"/>
    <w:rsid w:val="00AB35C1"/>
    <w:rsid w:val="00AB3668"/>
    <w:rsid w:val="00AB5422"/>
    <w:rsid w:val="00AB5ED7"/>
    <w:rsid w:val="00AC0B4C"/>
    <w:rsid w:val="00AC0C54"/>
    <w:rsid w:val="00AC0E09"/>
    <w:rsid w:val="00AC1620"/>
    <w:rsid w:val="00AC6522"/>
    <w:rsid w:val="00AC6850"/>
    <w:rsid w:val="00AC7DF4"/>
    <w:rsid w:val="00AD0AEE"/>
    <w:rsid w:val="00AD1454"/>
    <w:rsid w:val="00AD3323"/>
    <w:rsid w:val="00AD353C"/>
    <w:rsid w:val="00AD38C7"/>
    <w:rsid w:val="00AD49E3"/>
    <w:rsid w:val="00AD4B4F"/>
    <w:rsid w:val="00AD52C4"/>
    <w:rsid w:val="00AD69E7"/>
    <w:rsid w:val="00AE0CBA"/>
    <w:rsid w:val="00AE1491"/>
    <w:rsid w:val="00AE36BD"/>
    <w:rsid w:val="00AE4A5B"/>
    <w:rsid w:val="00AE4F65"/>
    <w:rsid w:val="00AE6E8A"/>
    <w:rsid w:val="00AF0616"/>
    <w:rsid w:val="00AF0E28"/>
    <w:rsid w:val="00AF1BAA"/>
    <w:rsid w:val="00AF4787"/>
    <w:rsid w:val="00AF5CD9"/>
    <w:rsid w:val="00AF6D7A"/>
    <w:rsid w:val="00AF6F9B"/>
    <w:rsid w:val="00B01409"/>
    <w:rsid w:val="00B0252C"/>
    <w:rsid w:val="00B03109"/>
    <w:rsid w:val="00B07BE7"/>
    <w:rsid w:val="00B10DBD"/>
    <w:rsid w:val="00B11432"/>
    <w:rsid w:val="00B11ACD"/>
    <w:rsid w:val="00B12653"/>
    <w:rsid w:val="00B15629"/>
    <w:rsid w:val="00B2132C"/>
    <w:rsid w:val="00B2341F"/>
    <w:rsid w:val="00B2372C"/>
    <w:rsid w:val="00B242E4"/>
    <w:rsid w:val="00B25264"/>
    <w:rsid w:val="00B26422"/>
    <w:rsid w:val="00B26B8B"/>
    <w:rsid w:val="00B30A88"/>
    <w:rsid w:val="00B32F70"/>
    <w:rsid w:val="00B35CD4"/>
    <w:rsid w:val="00B36C16"/>
    <w:rsid w:val="00B37379"/>
    <w:rsid w:val="00B373D0"/>
    <w:rsid w:val="00B43AAA"/>
    <w:rsid w:val="00B4670B"/>
    <w:rsid w:val="00B50351"/>
    <w:rsid w:val="00B50662"/>
    <w:rsid w:val="00B52452"/>
    <w:rsid w:val="00B53139"/>
    <w:rsid w:val="00B5366F"/>
    <w:rsid w:val="00B54470"/>
    <w:rsid w:val="00B54A70"/>
    <w:rsid w:val="00B55FD6"/>
    <w:rsid w:val="00B562CE"/>
    <w:rsid w:val="00B56EEE"/>
    <w:rsid w:val="00B57687"/>
    <w:rsid w:val="00B57D24"/>
    <w:rsid w:val="00B60882"/>
    <w:rsid w:val="00B62DE2"/>
    <w:rsid w:val="00B6535E"/>
    <w:rsid w:val="00B67E65"/>
    <w:rsid w:val="00B70505"/>
    <w:rsid w:val="00B73FC2"/>
    <w:rsid w:val="00B74417"/>
    <w:rsid w:val="00B77025"/>
    <w:rsid w:val="00B77246"/>
    <w:rsid w:val="00B80568"/>
    <w:rsid w:val="00B805F7"/>
    <w:rsid w:val="00B81525"/>
    <w:rsid w:val="00B83305"/>
    <w:rsid w:val="00B84633"/>
    <w:rsid w:val="00B85EE1"/>
    <w:rsid w:val="00B866CD"/>
    <w:rsid w:val="00B87B13"/>
    <w:rsid w:val="00B91804"/>
    <w:rsid w:val="00B92E32"/>
    <w:rsid w:val="00B93034"/>
    <w:rsid w:val="00B93A81"/>
    <w:rsid w:val="00B9494B"/>
    <w:rsid w:val="00B97C5D"/>
    <w:rsid w:val="00BA0060"/>
    <w:rsid w:val="00BA1290"/>
    <w:rsid w:val="00BA4B51"/>
    <w:rsid w:val="00BA4E0C"/>
    <w:rsid w:val="00BA4EFA"/>
    <w:rsid w:val="00BA5DEB"/>
    <w:rsid w:val="00BA61D1"/>
    <w:rsid w:val="00BB2792"/>
    <w:rsid w:val="00BB5EF1"/>
    <w:rsid w:val="00BB6B68"/>
    <w:rsid w:val="00BB76BF"/>
    <w:rsid w:val="00BB7EBA"/>
    <w:rsid w:val="00BC04AF"/>
    <w:rsid w:val="00BC0950"/>
    <w:rsid w:val="00BC1AD1"/>
    <w:rsid w:val="00BC1D82"/>
    <w:rsid w:val="00BC2995"/>
    <w:rsid w:val="00BC4454"/>
    <w:rsid w:val="00BC4A58"/>
    <w:rsid w:val="00BC4CC2"/>
    <w:rsid w:val="00BC613B"/>
    <w:rsid w:val="00BC74C1"/>
    <w:rsid w:val="00BD0590"/>
    <w:rsid w:val="00BD0F1F"/>
    <w:rsid w:val="00BD2651"/>
    <w:rsid w:val="00BD366C"/>
    <w:rsid w:val="00BD40DE"/>
    <w:rsid w:val="00BD51D9"/>
    <w:rsid w:val="00BD5324"/>
    <w:rsid w:val="00BD64E2"/>
    <w:rsid w:val="00BE346E"/>
    <w:rsid w:val="00BE3FA2"/>
    <w:rsid w:val="00BE4995"/>
    <w:rsid w:val="00BE7BAB"/>
    <w:rsid w:val="00BE7CBE"/>
    <w:rsid w:val="00BF1722"/>
    <w:rsid w:val="00BF33F6"/>
    <w:rsid w:val="00BF36CD"/>
    <w:rsid w:val="00BF429A"/>
    <w:rsid w:val="00BF43C3"/>
    <w:rsid w:val="00BF58ED"/>
    <w:rsid w:val="00BF60F4"/>
    <w:rsid w:val="00BF62BE"/>
    <w:rsid w:val="00BF76F4"/>
    <w:rsid w:val="00BF788B"/>
    <w:rsid w:val="00BF7DAF"/>
    <w:rsid w:val="00C01701"/>
    <w:rsid w:val="00C01AC0"/>
    <w:rsid w:val="00C02E45"/>
    <w:rsid w:val="00C03488"/>
    <w:rsid w:val="00C04D20"/>
    <w:rsid w:val="00C06C80"/>
    <w:rsid w:val="00C07126"/>
    <w:rsid w:val="00C128B6"/>
    <w:rsid w:val="00C14AF7"/>
    <w:rsid w:val="00C16853"/>
    <w:rsid w:val="00C21544"/>
    <w:rsid w:val="00C25119"/>
    <w:rsid w:val="00C263F0"/>
    <w:rsid w:val="00C26B2D"/>
    <w:rsid w:val="00C2787D"/>
    <w:rsid w:val="00C3177A"/>
    <w:rsid w:val="00C33D41"/>
    <w:rsid w:val="00C3659D"/>
    <w:rsid w:val="00C40AFD"/>
    <w:rsid w:val="00C4182E"/>
    <w:rsid w:val="00C41E20"/>
    <w:rsid w:val="00C42E3E"/>
    <w:rsid w:val="00C462AC"/>
    <w:rsid w:val="00C473D5"/>
    <w:rsid w:val="00C47A10"/>
    <w:rsid w:val="00C47AF8"/>
    <w:rsid w:val="00C51AC5"/>
    <w:rsid w:val="00C51C13"/>
    <w:rsid w:val="00C525A5"/>
    <w:rsid w:val="00C526B4"/>
    <w:rsid w:val="00C5300F"/>
    <w:rsid w:val="00C54125"/>
    <w:rsid w:val="00C54594"/>
    <w:rsid w:val="00C55D9E"/>
    <w:rsid w:val="00C566BE"/>
    <w:rsid w:val="00C5678E"/>
    <w:rsid w:val="00C567C4"/>
    <w:rsid w:val="00C63CBC"/>
    <w:rsid w:val="00C66CE0"/>
    <w:rsid w:val="00C67020"/>
    <w:rsid w:val="00C708ED"/>
    <w:rsid w:val="00C71BED"/>
    <w:rsid w:val="00C72D0C"/>
    <w:rsid w:val="00C737B2"/>
    <w:rsid w:val="00C744B1"/>
    <w:rsid w:val="00C81B37"/>
    <w:rsid w:val="00C81B53"/>
    <w:rsid w:val="00C82AD2"/>
    <w:rsid w:val="00C82BC7"/>
    <w:rsid w:val="00C85BC3"/>
    <w:rsid w:val="00C90FB6"/>
    <w:rsid w:val="00C92126"/>
    <w:rsid w:val="00C9220E"/>
    <w:rsid w:val="00C932BD"/>
    <w:rsid w:val="00C93429"/>
    <w:rsid w:val="00C94858"/>
    <w:rsid w:val="00C94B9C"/>
    <w:rsid w:val="00C9527C"/>
    <w:rsid w:val="00CA16C5"/>
    <w:rsid w:val="00CA35A4"/>
    <w:rsid w:val="00CA415A"/>
    <w:rsid w:val="00CA4344"/>
    <w:rsid w:val="00CA4BCE"/>
    <w:rsid w:val="00CA7146"/>
    <w:rsid w:val="00CA7A35"/>
    <w:rsid w:val="00CB01D1"/>
    <w:rsid w:val="00CB1536"/>
    <w:rsid w:val="00CB3D5C"/>
    <w:rsid w:val="00CB412F"/>
    <w:rsid w:val="00CB4DAB"/>
    <w:rsid w:val="00CB79B0"/>
    <w:rsid w:val="00CB7FB8"/>
    <w:rsid w:val="00CC0677"/>
    <w:rsid w:val="00CC1F71"/>
    <w:rsid w:val="00CC5588"/>
    <w:rsid w:val="00CC5CB9"/>
    <w:rsid w:val="00CC5E5B"/>
    <w:rsid w:val="00CC5EB3"/>
    <w:rsid w:val="00CD0E7B"/>
    <w:rsid w:val="00CD20DE"/>
    <w:rsid w:val="00CD2ABD"/>
    <w:rsid w:val="00CD4024"/>
    <w:rsid w:val="00CD407F"/>
    <w:rsid w:val="00CD4617"/>
    <w:rsid w:val="00CD47D4"/>
    <w:rsid w:val="00CD4855"/>
    <w:rsid w:val="00CD75FE"/>
    <w:rsid w:val="00CE01D7"/>
    <w:rsid w:val="00CE1AA5"/>
    <w:rsid w:val="00CE3313"/>
    <w:rsid w:val="00CE401A"/>
    <w:rsid w:val="00CE4F6E"/>
    <w:rsid w:val="00CE6D43"/>
    <w:rsid w:val="00CE7888"/>
    <w:rsid w:val="00CF1798"/>
    <w:rsid w:val="00CF3F45"/>
    <w:rsid w:val="00CF531C"/>
    <w:rsid w:val="00D02212"/>
    <w:rsid w:val="00D0249E"/>
    <w:rsid w:val="00D02884"/>
    <w:rsid w:val="00D032E7"/>
    <w:rsid w:val="00D0446D"/>
    <w:rsid w:val="00D0674A"/>
    <w:rsid w:val="00D06832"/>
    <w:rsid w:val="00D103A1"/>
    <w:rsid w:val="00D10E1C"/>
    <w:rsid w:val="00D14EE7"/>
    <w:rsid w:val="00D1578E"/>
    <w:rsid w:val="00D157FB"/>
    <w:rsid w:val="00D161A3"/>
    <w:rsid w:val="00D16A4C"/>
    <w:rsid w:val="00D22E49"/>
    <w:rsid w:val="00D23716"/>
    <w:rsid w:val="00D2567A"/>
    <w:rsid w:val="00D25ED8"/>
    <w:rsid w:val="00D27F8F"/>
    <w:rsid w:val="00D3039E"/>
    <w:rsid w:val="00D316B8"/>
    <w:rsid w:val="00D31CFC"/>
    <w:rsid w:val="00D31D30"/>
    <w:rsid w:val="00D324DF"/>
    <w:rsid w:val="00D3255D"/>
    <w:rsid w:val="00D33259"/>
    <w:rsid w:val="00D33A9A"/>
    <w:rsid w:val="00D33CB0"/>
    <w:rsid w:val="00D33D51"/>
    <w:rsid w:val="00D340C3"/>
    <w:rsid w:val="00D34352"/>
    <w:rsid w:val="00D346DE"/>
    <w:rsid w:val="00D34802"/>
    <w:rsid w:val="00D34C01"/>
    <w:rsid w:val="00D34C38"/>
    <w:rsid w:val="00D34F73"/>
    <w:rsid w:val="00D351EE"/>
    <w:rsid w:val="00D363B7"/>
    <w:rsid w:val="00D378DF"/>
    <w:rsid w:val="00D37E9E"/>
    <w:rsid w:val="00D40469"/>
    <w:rsid w:val="00D40708"/>
    <w:rsid w:val="00D409CD"/>
    <w:rsid w:val="00D42192"/>
    <w:rsid w:val="00D423D4"/>
    <w:rsid w:val="00D42CAF"/>
    <w:rsid w:val="00D44B4B"/>
    <w:rsid w:val="00D45C78"/>
    <w:rsid w:val="00D5014A"/>
    <w:rsid w:val="00D50930"/>
    <w:rsid w:val="00D513DB"/>
    <w:rsid w:val="00D5310F"/>
    <w:rsid w:val="00D540C5"/>
    <w:rsid w:val="00D55AC9"/>
    <w:rsid w:val="00D601EF"/>
    <w:rsid w:val="00D60272"/>
    <w:rsid w:val="00D61533"/>
    <w:rsid w:val="00D61E0D"/>
    <w:rsid w:val="00D631CB"/>
    <w:rsid w:val="00D6360D"/>
    <w:rsid w:val="00D63B2F"/>
    <w:rsid w:val="00D64906"/>
    <w:rsid w:val="00D6689D"/>
    <w:rsid w:val="00D67169"/>
    <w:rsid w:val="00D70747"/>
    <w:rsid w:val="00D711C6"/>
    <w:rsid w:val="00D7261D"/>
    <w:rsid w:val="00D743D9"/>
    <w:rsid w:val="00D755FC"/>
    <w:rsid w:val="00D766DB"/>
    <w:rsid w:val="00D76B6D"/>
    <w:rsid w:val="00D84D07"/>
    <w:rsid w:val="00D8526A"/>
    <w:rsid w:val="00D85BAC"/>
    <w:rsid w:val="00D85EF0"/>
    <w:rsid w:val="00D863C3"/>
    <w:rsid w:val="00D86EEE"/>
    <w:rsid w:val="00D872DA"/>
    <w:rsid w:val="00D90E91"/>
    <w:rsid w:val="00D91160"/>
    <w:rsid w:val="00D91C86"/>
    <w:rsid w:val="00D936EC"/>
    <w:rsid w:val="00D93A2E"/>
    <w:rsid w:val="00D95DC3"/>
    <w:rsid w:val="00D979E6"/>
    <w:rsid w:val="00DA1164"/>
    <w:rsid w:val="00DA28FC"/>
    <w:rsid w:val="00DA6D85"/>
    <w:rsid w:val="00DB00F9"/>
    <w:rsid w:val="00DB5922"/>
    <w:rsid w:val="00DB5CB0"/>
    <w:rsid w:val="00DB60E1"/>
    <w:rsid w:val="00DB7B7D"/>
    <w:rsid w:val="00DC0024"/>
    <w:rsid w:val="00DC1347"/>
    <w:rsid w:val="00DC35EB"/>
    <w:rsid w:val="00DC39F1"/>
    <w:rsid w:val="00DC60A2"/>
    <w:rsid w:val="00DD10B6"/>
    <w:rsid w:val="00DD5647"/>
    <w:rsid w:val="00DD593A"/>
    <w:rsid w:val="00DD77DE"/>
    <w:rsid w:val="00DE3039"/>
    <w:rsid w:val="00DE4B35"/>
    <w:rsid w:val="00DE595A"/>
    <w:rsid w:val="00DE61C7"/>
    <w:rsid w:val="00DE6AC6"/>
    <w:rsid w:val="00DF0211"/>
    <w:rsid w:val="00DF1431"/>
    <w:rsid w:val="00DF19C1"/>
    <w:rsid w:val="00DF2DE9"/>
    <w:rsid w:val="00DF4A37"/>
    <w:rsid w:val="00DF54CA"/>
    <w:rsid w:val="00DF56C9"/>
    <w:rsid w:val="00DF5B64"/>
    <w:rsid w:val="00DF7566"/>
    <w:rsid w:val="00DF7A7F"/>
    <w:rsid w:val="00E02794"/>
    <w:rsid w:val="00E02A78"/>
    <w:rsid w:val="00E043E3"/>
    <w:rsid w:val="00E04B43"/>
    <w:rsid w:val="00E0505B"/>
    <w:rsid w:val="00E069D3"/>
    <w:rsid w:val="00E11280"/>
    <w:rsid w:val="00E11612"/>
    <w:rsid w:val="00E12359"/>
    <w:rsid w:val="00E14265"/>
    <w:rsid w:val="00E152FF"/>
    <w:rsid w:val="00E16D70"/>
    <w:rsid w:val="00E17C8F"/>
    <w:rsid w:val="00E21E4D"/>
    <w:rsid w:val="00E23429"/>
    <w:rsid w:val="00E237FE"/>
    <w:rsid w:val="00E23829"/>
    <w:rsid w:val="00E23958"/>
    <w:rsid w:val="00E24356"/>
    <w:rsid w:val="00E2461B"/>
    <w:rsid w:val="00E24886"/>
    <w:rsid w:val="00E26646"/>
    <w:rsid w:val="00E2667A"/>
    <w:rsid w:val="00E276FB"/>
    <w:rsid w:val="00E3079D"/>
    <w:rsid w:val="00E31795"/>
    <w:rsid w:val="00E32595"/>
    <w:rsid w:val="00E32DC6"/>
    <w:rsid w:val="00E33A74"/>
    <w:rsid w:val="00E340F6"/>
    <w:rsid w:val="00E353F0"/>
    <w:rsid w:val="00E3643D"/>
    <w:rsid w:val="00E4030B"/>
    <w:rsid w:val="00E41D56"/>
    <w:rsid w:val="00E425D2"/>
    <w:rsid w:val="00E44073"/>
    <w:rsid w:val="00E45133"/>
    <w:rsid w:val="00E457DF"/>
    <w:rsid w:val="00E46642"/>
    <w:rsid w:val="00E50C62"/>
    <w:rsid w:val="00E5139A"/>
    <w:rsid w:val="00E5413D"/>
    <w:rsid w:val="00E548A7"/>
    <w:rsid w:val="00E55662"/>
    <w:rsid w:val="00E5581B"/>
    <w:rsid w:val="00E55C06"/>
    <w:rsid w:val="00E562C8"/>
    <w:rsid w:val="00E57093"/>
    <w:rsid w:val="00E57977"/>
    <w:rsid w:val="00E57A4D"/>
    <w:rsid w:val="00E61424"/>
    <w:rsid w:val="00E61812"/>
    <w:rsid w:val="00E631AC"/>
    <w:rsid w:val="00E635D7"/>
    <w:rsid w:val="00E64C35"/>
    <w:rsid w:val="00E66054"/>
    <w:rsid w:val="00E66D23"/>
    <w:rsid w:val="00E67A47"/>
    <w:rsid w:val="00E67B7E"/>
    <w:rsid w:val="00E70576"/>
    <w:rsid w:val="00E7152D"/>
    <w:rsid w:val="00E71D3E"/>
    <w:rsid w:val="00E71DED"/>
    <w:rsid w:val="00E74D45"/>
    <w:rsid w:val="00E756C6"/>
    <w:rsid w:val="00E777FA"/>
    <w:rsid w:val="00E82101"/>
    <w:rsid w:val="00E83289"/>
    <w:rsid w:val="00E833D1"/>
    <w:rsid w:val="00E83954"/>
    <w:rsid w:val="00E84357"/>
    <w:rsid w:val="00E85087"/>
    <w:rsid w:val="00E85BD9"/>
    <w:rsid w:val="00E86506"/>
    <w:rsid w:val="00E90579"/>
    <w:rsid w:val="00E91730"/>
    <w:rsid w:val="00E92A79"/>
    <w:rsid w:val="00E96CC9"/>
    <w:rsid w:val="00E96ECE"/>
    <w:rsid w:val="00E96F04"/>
    <w:rsid w:val="00E97AEC"/>
    <w:rsid w:val="00EA20FE"/>
    <w:rsid w:val="00EA36FC"/>
    <w:rsid w:val="00EA5B18"/>
    <w:rsid w:val="00EA79FB"/>
    <w:rsid w:val="00EB491E"/>
    <w:rsid w:val="00EB60EE"/>
    <w:rsid w:val="00EB66B2"/>
    <w:rsid w:val="00EB681B"/>
    <w:rsid w:val="00EC1589"/>
    <w:rsid w:val="00EC15B3"/>
    <w:rsid w:val="00EC2149"/>
    <w:rsid w:val="00EC2E78"/>
    <w:rsid w:val="00EC45FE"/>
    <w:rsid w:val="00EC4FAD"/>
    <w:rsid w:val="00EC764D"/>
    <w:rsid w:val="00ED1791"/>
    <w:rsid w:val="00ED1D96"/>
    <w:rsid w:val="00ED35A1"/>
    <w:rsid w:val="00ED7F4A"/>
    <w:rsid w:val="00EE1112"/>
    <w:rsid w:val="00EE2053"/>
    <w:rsid w:val="00EE3CFA"/>
    <w:rsid w:val="00EE49CE"/>
    <w:rsid w:val="00EE69E4"/>
    <w:rsid w:val="00EE756E"/>
    <w:rsid w:val="00EE7609"/>
    <w:rsid w:val="00EF0D1D"/>
    <w:rsid w:val="00EF1616"/>
    <w:rsid w:val="00EF2A20"/>
    <w:rsid w:val="00EF2A7F"/>
    <w:rsid w:val="00EF7B99"/>
    <w:rsid w:val="00EF7E90"/>
    <w:rsid w:val="00F002B6"/>
    <w:rsid w:val="00F0195B"/>
    <w:rsid w:val="00F01B90"/>
    <w:rsid w:val="00F06CF7"/>
    <w:rsid w:val="00F06F31"/>
    <w:rsid w:val="00F10257"/>
    <w:rsid w:val="00F10AFE"/>
    <w:rsid w:val="00F11BFB"/>
    <w:rsid w:val="00F13E31"/>
    <w:rsid w:val="00F15C6C"/>
    <w:rsid w:val="00F1704C"/>
    <w:rsid w:val="00F17173"/>
    <w:rsid w:val="00F20987"/>
    <w:rsid w:val="00F224DC"/>
    <w:rsid w:val="00F23FC4"/>
    <w:rsid w:val="00F25388"/>
    <w:rsid w:val="00F26407"/>
    <w:rsid w:val="00F2687F"/>
    <w:rsid w:val="00F26A5E"/>
    <w:rsid w:val="00F273F7"/>
    <w:rsid w:val="00F27664"/>
    <w:rsid w:val="00F27F29"/>
    <w:rsid w:val="00F3069F"/>
    <w:rsid w:val="00F32D54"/>
    <w:rsid w:val="00F35946"/>
    <w:rsid w:val="00F35DCE"/>
    <w:rsid w:val="00F36C54"/>
    <w:rsid w:val="00F36CC1"/>
    <w:rsid w:val="00F404AB"/>
    <w:rsid w:val="00F40D49"/>
    <w:rsid w:val="00F40D75"/>
    <w:rsid w:val="00F418EA"/>
    <w:rsid w:val="00F41A29"/>
    <w:rsid w:val="00F4243A"/>
    <w:rsid w:val="00F44C1C"/>
    <w:rsid w:val="00F450D3"/>
    <w:rsid w:val="00F518DF"/>
    <w:rsid w:val="00F544DB"/>
    <w:rsid w:val="00F62F2A"/>
    <w:rsid w:val="00F642B9"/>
    <w:rsid w:val="00F648EA"/>
    <w:rsid w:val="00F6502E"/>
    <w:rsid w:val="00F65663"/>
    <w:rsid w:val="00F6677D"/>
    <w:rsid w:val="00F66824"/>
    <w:rsid w:val="00F71E65"/>
    <w:rsid w:val="00F74082"/>
    <w:rsid w:val="00F75147"/>
    <w:rsid w:val="00F756C0"/>
    <w:rsid w:val="00F756EC"/>
    <w:rsid w:val="00F75A40"/>
    <w:rsid w:val="00F771C1"/>
    <w:rsid w:val="00F77637"/>
    <w:rsid w:val="00F82197"/>
    <w:rsid w:val="00F8435D"/>
    <w:rsid w:val="00F862E5"/>
    <w:rsid w:val="00F87DD0"/>
    <w:rsid w:val="00F9274A"/>
    <w:rsid w:val="00F93360"/>
    <w:rsid w:val="00F93483"/>
    <w:rsid w:val="00F93643"/>
    <w:rsid w:val="00F93DA0"/>
    <w:rsid w:val="00F93FE4"/>
    <w:rsid w:val="00F975A2"/>
    <w:rsid w:val="00F97E4E"/>
    <w:rsid w:val="00FA0121"/>
    <w:rsid w:val="00FA1A40"/>
    <w:rsid w:val="00FA217B"/>
    <w:rsid w:val="00FA3889"/>
    <w:rsid w:val="00FA3E29"/>
    <w:rsid w:val="00FA4841"/>
    <w:rsid w:val="00FA4E2D"/>
    <w:rsid w:val="00FA6273"/>
    <w:rsid w:val="00FA7F16"/>
    <w:rsid w:val="00FB0BC5"/>
    <w:rsid w:val="00FB0BCC"/>
    <w:rsid w:val="00FB4F95"/>
    <w:rsid w:val="00FB6716"/>
    <w:rsid w:val="00FC0BA9"/>
    <w:rsid w:val="00FC0FE5"/>
    <w:rsid w:val="00FC204F"/>
    <w:rsid w:val="00FC21D5"/>
    <w:rsid w:val="00FC35DF"/>
    <w:rsid w:val="00FC5E8D"/>
    <w:rsid w:val="00FC7BDD"/>
    <w:rsid w:val="00FD17CE"/>
    <w:rsid w:val="00FD18C1"/>
    <w:rsid w:val="00FD1ABC"/>
    <w:rsid w:val="00FD1E9A"/>
    <w:rsid w:val="00FD33B1"/>
    <w:rsid w:val="00FD33EB"/>
    <w:rsid w:val="00FD7DDF"/>
    <w:rsid w:val="00FE0E31"/>
    <w:rsid w:val="00FE2C5A"/>
    <w:rsid w:val="00FE2DB8"/>
    <w:rsid w:val="00FE4C92"/>
    <w:rsid w:val="00FE7F25"/>
    <w:rsid w:val="00FF0FAA"/>
    <w:rsid w:val="00FF2744"/>
    <w:rsid w:val="00FF2DC5"/>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2E2E2E"/>
  <w15:docId w15:val="{36BAECF1-84AD-4D6D-9C54-709277D7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FA"/>
    <w:pPr>
      <w:spacing w:line="288" w:lineRule="auto"/>
      <w:jc w:val="both"/>
    </w:pPr>
    <w:rPr>
      <w:lang w:val="en-US" w:eastAsia="en-US" w:bidi="ar-SA"/>
    </w:rPr>
  </w:style>
  <w:style w:type="paragraph" w:styleId="Heading1">
    <w:name w:val="heading 1"/>
    <w:basedOn w:val="Normal"/>
    <w:next w:val="Normal"/>
    <w:link w:val="Heading1Char"/>
    <w:qFormat/>
    <w:rsid w:val="00BA4EFA"/>
    <w:pPr>
      <w:numPr>
        <w:numId w:val="1"/>
      </w:numPr>
      <w:ind w:left="567" w:hanging="567"/>
      <w:outlineLvl w:val="0"/>
    </w:pPr>
    <w:rPr>
      <w:kern w:val="28"/>
    </w:rPr>
  </w:style>
  <w:style w:type="paragraph" w:styleId="Heading2">
    <w:name w:val="heading 2"/>
    <w:basedOn w:val="Normal"/>
    <w:next w:val="Normal"/>
    <w:link w:val="Heading2Char"/>
    <w:qFormat/>
    <w:rsid w:val="00BA4EFA"/>
    <w:pPr>
      <w:numPr>
        <w:ilvl w:val="1"/>
        <w:numId w:val="1"/>
      </w:numPr>
      <w:ind w:left="567" w:hanging="567"/>
      <w:outlineLvl w:val="1"/>
    </w:pPr>
  </w:style>
  <w:style w:type="paragraph" w:styleId="Heading3">
    <w:name w:val="heading 3"/>
    <w:basedOn w:val="Normal"/>
    <w:next w:val="Normal"/>
    <w:link w:val="Heading3Char"/>
    <w:qFormat/>
    <w:rsid w:val="00BA4EFA"/>
    <w:pPr>
      <w:numPr>
        <w:ilvl w:val="2"/>
        <w:numId w:val="1"/>
      </w:numPr>
      <w:ind w:left="567" w:hanging="567"/>
      <w:outlineLvl w:val="2"/>
    </w:pPr>
  </w:style>
  <w:style w:type="paragraph" w:styleId="Heading4">
    <w:name w:val="heading 4"/>
    <w:basedOn w:val="Normal"/>
    <w:next w:val="Normal"/>
    <w:link w:val="Heading4Char"/>
    <w:qFormat/>
    <w:rsid w:val="00BA4EFA"/>
    <w:pPr>
      <w:numPr>
        <w:ilvl w:val="3"/>
        <w:numId w:val="1"/>
      </w:numPr>
      <w:ind w:left="567" w:hanging="567"/>
      <w:outlineLvl w:val="3"/>
    </w:pPr>
  </w:style>
  <w:style w:type="paragraph" w:styleId="Heading5">
    <w:name w:val="heading 5"/>
    <w:basedOn w:val="Normal"/>
    <w:next w:val="Normal"/>
    <w:link w:val="Heading5Char"/>
    <w:qFormat/>
    <w:rsid w:val="00BA4EFA"/>
    <w:pPr>
      <w:numPr>
        <w:ilvl w:val="4"/>
        <w:numId w:val="1"/>
      </w:numPr>
      <w:ind w:left="567" w:hanging="567"/>
      <w:outlineLvl w:val="4"/>
    </w:pPr>
  </w:style>
  <w:style w:type="paragraph" w:styleId="Heading6">
    <w:name w:val="heading 6"/>
    <w:basedOn w:val="Normal"/>
    <w:next w:val="Normal"/>
    <w:link w:val="Heading6Char"/>
    <w:qFormat/>
    <w:rsid w:val="00BA4EFA"/>
    <w:pPr>
      <w:numPr>
        <w:ilvl w:val="5"/>
        <w:numId w:val="1"/>
      </w:numPr>
      <w:ind w:left="567" w:hanging="567"/>
      <w:outlineLvl w:val="5"/>
    </w:pPr>
  </w:style>
  <w:style w:type="paragraph" w:styleId="Heading7">
    <w:name w:val="heading 7"/>
    <w:basedOn w:val="Normal"/>
    <w:next w:val="Normal"/>
    <w:link w:val="Heading7Char"/>
    <w:qFormat/>
    <w:rsid w:val="00BA4EFA"/>
    <w:pPr>
      <w:numPr>
        <w:ilvl w:val="6"/>
        <w:numId w:val="1"/>
      </w:numPr>
      <w:ind w:left="567" w:hanging="567"/>
      <w:outlineLvl w:val="6"/>
    </w:pPr>
  </w:style>
  <w:style w:type="paragraph" w:styleId="Heading8">
    <w:name w:val="heading 8"/>
    <w:basedOn w:val="Normal"/>
    <w:next w:val="Normal"/>
    <w:link w:val="Heading8Char"/>
    <w:qFormat/>
    <w:rsid w:val="00BA4EFA"/>
    <w:pPr>
      <w:numPr>
        <w:ilvl w:val="7"/>
        <w:numId w:val="1"/>
      </w:numPr>
      <w:ind w:left="567" w:hanging="567"/>
      <w:outlineLvl w:val="7"/>
    </w:pPr>
  </w:style>
  <w:style w:type="paragraph" w:styleId="Heading9">
    <w:name w:val="heading 9"/>
    <w:basedOn w:val="Normal"/>
    <w:next w:val="Normal"/>
    <w:link w:val="Heading9Char"/>
    <w:qFormat/>
    <w:rsid w:val="00BA4EF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BA4EFA"/>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
    <w:basedOn w:val="Normal"/>
    <w:link w:val="FootnoteTextChar"/>
    <w:qFormat/>
    <w:rsid w:val="00BA4EFA"/>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qFormat/>
    <w:locked/>
    <w:rsid w:val="00CB1536"/>
    <w:rPr>
      <w:sz w:val="16"/>
      <w:lang w:val="en-US" w:eastAsia="en-US" w:bidi="ar-SA"/>
    </w:rPr>
  </w:style>
  <w:style w:type="paragraph" w:styleId="Header">
    <w:name w:val="header"/>
    <w:basedOn w:val="Normal"/>
    <w:link w:val="HeaderChar"/>
    <w:qFormat/>
    <w:rsid w:val="00BA4EFA"/>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aliases w:val="Footnote symbol"/>
    <w:basedOn w:val="DefaultParagraphFont"/>
    <w:unhideWhenUsed/>
    <w:qFormat/>
    <w:rsid w:val="00BA4EFA"/>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BA4EFA"/>
    <w:pPr>
      <w:ind w:left="720"/>
    </w:pPr>
    <w:rPr>
      <w:i/>
    </w:rPr>
  </w:style>
  <w:style w:type="character" w:styleId="CommentReference">
    <w:name w:val="annotation reference"/>
    <w:basedOn w:val="DefaultParagraphFont"/>
    <w:uiPriority w:val="99"/>
    <w:semiHidden/>
    <w:unhideWhenUsed/>
    <w:rsid w:val="002B6B7B"/>
    <w:rPr>
      <w:sz w:val="18"/>
      <w:szCs w:val="18"/>
    </w:rPr>
  </w:style>
  <w:style w:type="paragraph" w:styleId="CommentText">
    <w:name w:val="annotation text"/>
    <w:basedOn w:val="Normal"/>
    <w:link w:val="CommentTextChar1"/>
    <w:uiPriority w:val="99"/>
    <w:semiHidden/>
    <w:unhideWhenUsed/>
    <w:rsid w:val="002B6B7B"/>
    <w:pPr>
      <w:spacing w:after="160" w:line="240" w:lineRule="auto"/>
      <w:jc w:val="left"/>
    </w:pPr>
    <w:rPr>
      <w:rFonts w:asciiTheme="minorHAnsi" w:eastAsiaTheme="minorHAnsi" w:hAnsiTheme="minorHAnsi" w:cstheme="minorBidi"/>
      <w:sz w:val="24"/>
      <w:szCs w:val="24"/>
      <w:lang w:val="fr-BE"/>
    </w:rPr>
  </w:style>
  <w:style w:type="character" w:customStyle="1" w:styleId="CommentTextChar">
    <w:name w:val="Comment Text Char"/>
    <w:basedOn w:val="DefaultParagraphFont"/>
    <w:uiPriority w:val="99"/>
    <w:semiHidden/>
    <w:rsid w:val="002B6B7B"/>
    <w:rPr>
      <w:sz w:val="20"/>
      <w:szCs w:val="20"/>
      <w:lang w:eastAsia="en-US" w:bidi="ar-SA"/>
    </w:rPr>
  </w:style>
  <w:style w:type="character" w:customStyle="1" w:styleId="CommentTextChar1">
    <w:name w:val="Comment Text Char1"/>
    <w:basedOn w:val="DefaultParagraphFont"/>
    <w:link w:val="CommentText"/>
    <w:uiPriority w:val="99"/>
    <w:semiHidden/>
    <w:rsid w:val="002B6B7B"/>
    <w:rPr>
      <w:rFonts w:asciiTheme="minorHAnsi" w:eastAsiaTheme="minorHAnsi" w:hAnsiTheme="minorHAnsi" w:cstheme="minorBidi"/>
      <w:sz w:val="24"/>
      <w:szCs w:val="24"/>
      <w:lang w:val="fr-BE" w:eastAsia="en-US" w:bidi="ar-SA"/>
    </w:rPr>
  </w:style>
  <w:style w:type="paragraph" w:styleId="ListParagraph">
    <w:name w:val="List Paragraph"/>
    <w:basedOn w:val="Normal"/>
    <w:uiPriority w:val="34"/>
    <w:qFormat/>
    <w:rsid w:val="00AC0C54"/>
    <w:pPr>
      <w:spacing w:after="160" w:line="259" w:lineRule="auto"/>
      <w:ind w:left="720"/>
      <w:contextualSpacing/>
      <w:jc w:val="left"/>
    </w:pPr>
    <w:rPr>
      <w:rFonts w:asciiTheme="minorHAnsi" w:eastAsiaTheme="minorHAnsi" w:hAnsiTheme="minorHAnsi" w:cstheme="minorBidi"/>
      <w:lang w:val="fr-BE"/>
    </w:rPr>
  </w:style>
  <w:style w:type="character" w:styleId="Strong">
    <w:name w:val="Strong"/>
    <w:basedOn w:val="DefaultParagraphFont"/>
    <w:uiPriority w:val="22"/>
    <w:qFormat/>
    <w:locked/>
    <w:rsid w:val="00AC0C54"/>
    <w:rPr>
      <w:b/>
      <w:bCs/>
    </w:rPr>
  </w:style>
  <w:style w:type="paragraph" w:styleId="CommentSubject">
    <w:name w:val="annotation subject"/>
    <w:basedOn w:val="CommentText"/>
    <w:next w:val="CommentText"/>
    <w:link w:val="CommentSubjectChar"/>
    <w:uiPriority w:val="99"/>
    <w:semiHidden/>
    <w:unhideWhenUsed/>
    <w:rsid w:val="00654FAD"/>
    <w:pPr>
      <w:spacing w:after="0"/>
      <w:jc w:val="both"/>
    </w:pPr>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1"/>
    <w:link w:val="CommentSubject"/>
    <w:uiPriority w:val="99"/>
    <w:semiHidden/>
    <w:rsid w:val="00654FAD"/>
    <w:rPr>
      <w:rFonts w:asciiTheme="minorHAnsi" w:eastAsiaTheme="minorHAnsi" w:hAnsiTheme="minorHAnsi" w:cstheme="minorBidi"/>
      <w:b/>
      <w:bCs/>
      <w:sz w:val="20"/>
      <w:szCs w:val="20"/>
      <w:lang w:val="fr-BE" w:eastAsia="en-US" w:bidi="ar-SA"/>
    </w:rPr>
  </w:style>
  <w:style w:type="paragraph" w:customStyle="1" w:styleId="Default">
    <w:name w:val="Default"/>
    <w:rsid w:val="00484971"/>
    <w:pPr>
      <w:autoSpaceDE w:val="0"/>
      <w:autoSpaceDN w:val="0"/>
      <w:adjustRightInd w:val="0"/>
    </w:pPr>
    <w:rPr>
      <w:rFonts w:ascii="Arial" w:eastAsiaTheme="minorHAnsi" w:hAnsi="Arial" w:cs="Arial"/>
      <w:color w:val="000000"/>
      <w:sz w:val="24"/>
      <w:szCs w:val="24"/>
      <w:lang w:val="cs-CZ" w:eastAsia="en-US" w:bidi="ar-SA"/>
    </w:rPr>
  </w:style>
  <w:style w:type="table" w:styleId="TableGrid">
    <w:name w:val="Table Grid"/>
    <w:basedOn w:val="TableNormal"/>
    <w:locked/>
    <w:rsid w:val="0029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5048">
      <w:bodyDiv w:val="1"/>
      <w:marLeft w:val="0"/>
      <w:marRight w:val="0"/>
      <w:marTop w:val="0"/>
      <w:marBottom w:val="0"/>
      <w:divBdr>
        <w:top w:val="none" w:sz="0" w:space="0" w:color="auto"/>
        <w:left w:val="none" w:sz="0" w:space="0" w:color="auto"/>
        <w:bottom w:val="none" w:sz="0" w:space="0" w:color="auto"/>
        <w:right w:val="none" w:sz="0" w:space="0" w:color="auto"/>
      </w:divBdr>
      <w:divsChild>
        <w:div w:id="2132632079">
          <w:marLeft w:val="0"/>
          <w:marRight w:val="0"/>
          <w:marTop w:val="0"/>
          <w:marBottom w:val="0"/>
          <w:divBdr>
            <w:top w:val="none" w:sz="0" w:space="0" w:color="auto"/>
            <w:left w:val="none" w:sz="0" w:space="0" w:color="auto"/>
            <w:bottom w:val="none" w:sz="0" w:space="0" w:color="auto"/>
            <w:right w:val="none" w:sz="0" w:space="0" w:color="auto"/>
          </w:divBdr>
          <w:divsChild>
            <w:div w:id="11648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1687">
      <w:bodyDiv w:val="1"/>
      <w:marLeft w:val="0"/>
      <w:marRight w:val="0"/>
      <w:marTop w:val="0"/>
      <w:marBottom w:val="0"/>
      <w:divBdr>
        <w:top w:val="none" w:sz="0" w:space="0" w:color="auto"/>
        <w:left w:val="none" w:sz="0" w:space="0" w:color="auto"/>
        <w:bottom w:val="none" w:sz="0" w:space="0" w:color="auto"/>
        <w:right w:val="none" w:sz="0" w:space="0" w:color="auto"/>
      </w:divBdr>
    </w:div>
    <w:div w:id="427695088">
      <w:bodyDiv w:val="1"/>
      <w:marLeft w:val="0"/>
      <w:marRight w:val="0"/>
      <w:marTop w:val="0"/>
      <w:marBottom w:val="0"/>
      <w:divBdr>
        <w:top w:val="none" w:sz="0" w:space="0" w:color="auto"/>
        <w:left w:val="none" w:sz="0" w:space="0" w:color="auto"/>
        <w:bottom w:val="none" w:sz="0" w:space="0" w:color="auto"/>
        <w:right w:val="none" w:sz="0" w:space="0" w:color="auto"/>
      </w:divBdr>
    </w:div>
    <w:div w:id="531117977">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883521799">
      <w:bodyDiv w:val="1"/>
      <w:marLeft w:val="0"/>
      <w:marRight w:val="0"/>
      <w:marTop w:val="0"/>
      <w:marBottom w:val="0"/>
      <w:divBdr>
        <w:top w:val="none" w:sz="0" w:space="0" w:color="auto"/>
        <w:left w:val="none" w:sz="0" w:space="0" w:color="auto"/>
        <w:bottom w:val="none" w:sz="0" w:space="0" w:color="auto"/>
        <w:right w:val="none" w:sz="0" w:space="0" w:color="auto"/>
      </w:divBdr>
    </w:div>
    <w:div w:id="16521278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491">
          <w:marLeft w:val="0"/>
          <w:marRight w:val="0"/>
          <w:marTop w:val="0"/>
          <w:marBottom w:val="0"/>
          <w:divBdr>
            <w:top w:val="none" w:sz="0" w:space="0" w:color="auto"/>
            <w:left w:val="none" w:sz="0" w:space="0" w:color="auto"/>
            <w:bottom w:val="none" w:sz="0" w:space="0" w:color="auto"/>
            <w:right w:val="none" w:sz="0" w:space="0" w:color="auto"/>
          </w:divBdr>
          <w:divsChild>
            <w:div w:id="11534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eventsId=1028&amp;catId=88&amp;furtherEvents=yes&amp;langId=en&amp;" TargetMode="External"/><Relationship Id="rId13" Type="http://schemas.openxmlformats.org/officeDocument/2006/relationships/hyperlink" Target="https://eur-lex.europa.eu/legal-content/EN/ALL/?uri=CELEX:52012IE2096" TargetMode="External"/><Relationship Id="rId3" Type="http://schemas.openxmlformats.org/officeDocument/2006/relationships/hyperlink" Target="https://ec.europa.eu/social/main.jsp?langId=en&amp;catId=89&amp;newsId=2562" TargetMode="External"/><Relationship Id="rId7" Type="http://schemas.openxmlformats.org/officeDocument/2006/relationships/hyperlink" Target="https://ec.europa.eu/social/main.jsp?catId=978&amp;langId=en" TargetMode="External"/><Relationship Id="rId12" Type="http://schemas.openxmlformats.org/officeDocument/2006/relationships/hyperlink" Target="https://eur-lex.europa.eu/legal-content/EN/ALL/?uri=CELEX:52012IE2096" TargetMode="External"/><Relationship Id="rId2" Type="http://schemas.openxmlformats.org/officeDocument/2006/relationships/hyperlink" Target="https://eur-lex.europa.eu/LexUriServ/LexUriServ.do?uri=OJ:C:2020:232:SOM:EN:HTML" TargetMode="External"/><Relationship Id="rId1" Type="http://schemas.openxmlformats.org/officeDocument/2006/relationships/hyperlink" Target="https://eur-lex.europa.eu/LexUriServ/LexUriServ.do?uri=OJ:C:2017:125:SOM:EN:HTML" TargetMode="External"/><Relationship Id="rId6" Type="http://schemas.openxmlformats.org/officeDocument/2006/relationships/hyperlink" Target="https://eur-lex.europa.eu/legal-content/EN/TXT/?uri=CELEX:02009L0038-20151009" TargetMode="External"/><Relationship Id="rId11" Type="http://schemas.openxmlformats.org/officeDocument/2006/relationships/hyperlink" Target="https://op.europa.eu/en/publication-detail/-/publication/074e4d5c-902b-4978-9e1a-f94f30fa7be4/language-en" TargetMode="External"/><Relationship Id="rId5" Type="http://schemas.openxmlformats.org/officeDocument/2006/relationships/hyperlink" Target="https://www.eurofound.europa.eu/publications/report/2019/european-sectoral-social-dialogue-facts-and-figures" TargetMode="External"/><Relationship Id="rId10" Type="http://schemas.openxmlformats.org/officeDocument/2006/relationships/hyperlink" Target="https://ec.europa.eu/info/business-economy-euro/economic-and-fiscal-policy-coordination/eu-economic-governance-monitoring-prevention-correction/european-semester/framework/eus-economic-governance-explained_en" TargetMode="External"/><Relationship Id="rId4" Type="http://schemas.openxmlformats.org/officeDocument/2006/relationships/hyperlink" Target="http://eur-lex.europa.eu/LexUriServ/LexUriServ.do?uri=OJ:L:1998:225:0027:0028:EN:PDF" TargetMode="External"/><Relationship Id="rId9" Type="http://schemas.openxmlformats.org/officeDocument/2006/relationships/hyperlink" Target="https://eur-lex.europa.eu/legal-content/EN/TXT/?qid=1529571246622&amp;uri=CELEX:32017C12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VV634QRNENMJ-2004427339-11995</_dlc_DocId>
    <_dlc_DocIdUrl xmlns="cda99570-6012-4083-bfeb-7d32ad1ce1a3">
      <Url>http://dm2016/eesc/2020/_layouts/15/DocIdRedir.aspx?ID=VV634QRNENMJ-2004427339-11995</Url>
      <Description>VV634QRNENMJ-2004427339-11995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2020-11-06T12:00:00+00:00</ProductionDate>
    <FicheYear xmlns="cda99570-6012-4083-bfeb-7d32ad1ce1a3">2020</FicheYear>
    <DocumentNumber xmlns="0381fa04-922e-4f8c-89b0-7415d369da52">1913</DocumentNumber>
    <DocumentVersion xmlns="cda99570-6012-4083-bfeb-7d32ad1ce1a3">0</DocumentVersion>
    <DossierNumber xmlns="cda99570-6012-4083-bfeb-7d32ad1ce1a3">644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DRBALOVÁ &amp; 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3703</FicheNumber>
    <DocumentPart xmlns="cda99570-6012-4083-bfeb-7d32ad1ce1a3">0</DocumentPart>
    <AdoptionDate xmlns="cda99570-6012-4083-bfeb-7d32ad1ce1a3">2020-10-29T12:00:00+00:00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12B32-BDF7-425D-99D2-5408D028B08C}">
  <ds:schemaRefs>
    <ds:schemaRef ds:uri="http://schemas.microsoft.com/sharepoint/events"/>
  </ds:schemaRefs>
</ds:datastoreItem>
</file>

<file path=customXml/itemProps2.xml><?xml version="1.0" encoding="utf-8"?>
<ds:datastoreItem xmlns:ds="http://schemas.openxmlformats.org/officeDocument/2006/customXml" ds:itemID="{60DA27FF-D5EF-4407-89F0-2BC29E81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5C5C2-853E-47F6-A4EE-A4C4B1F63ECA}">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4.xml><?xml version="1.0" encoding="utf-8"?>
<ds:datastoreItem xmlns:ds="http://schemas.openxmlformats.org/officeDocument/2006/customXml" ds:itemID="{237F1365-189C-484F-9CCC-4B5655D11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6783</Words>
  <Characters>38669</Characters>
  <Application>Microsoft Office Word</Application>
  <DocSecurity>0</DocSecurity>
  <Lines>322</Lines>
  <Paragraphs>90</Paragraphs>
  <ScaleCrop>false</ScaleCrop>
  <HeadingPairs>
    <vt:vector size="8" baseType="variant">
      <vt:variant>
        <vt:lpstr>Title</vt:lpstr>
      </vt:variant>
      <vt:variant>
        <vt:i4>1</vt:i4>
      </vt:variant>
      <vt:variant>
        <vt:lpstr>Titolo</vt:lpstr>
      </vt:variant>
      <vt:variant>
        <vt:i4>1</vt:i4>
      </vt:variant>
      <vt:variant>
        <vt:lpstr>Název</vt:lpstr>
      </vt:variant>
      <vt:variant>
        <vt:i4>1</vt:i4>
      </vt:variant>
      <vt:variant>
        <vt:lpstr>Titlu</vt:lpstr>
      </vt:variant>
      <vt:variant>
        <vt:i4>1</vt:i4>
      </vt:variant>
    </vt:vector>
  </HeadingPairs>
  <TitlesOfParts>
    <vt:vector size="4" baseType="lpstr">
      <vt:lpstr>Social dialogue as an important pillar of economic sustainability and the resilience of economies taking into account the influence of lively public d</vt:lpstr>
      <vt:lpstr>Social dialogue as an important pillar of economic sustainability and the resilience of economies taking into account the influence of lively public d</vt:lpstr>
      <vt:lpstr>NEW EESC MODEL  - DT</vt:lpstr>
      <vt:lpstr>European Agenda on Migration: Second implementation package - A permanent crisis relocation mechanism under the Dublin system</vt:lpstr>
    </vt:vector>
  </TitlesOfParts>
  <Company>CESE-CdR</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dialogue as an important pillar of economic sustainability and the resilience of economies taking into account the influence of lively public d</dc:title>
  <dc:subject>Committee opinion</dc:subject>
  <dc:creator>Tomas Vocasek</dc:creator>
  <cp:keywords>EESC-2020-01913-00-00-AC-TRA-EN</cp:keywords>
  <dc:description>Rapporteur: DRBALOVÁ &amp; DEL RIO - Original language: EN - Date of document: 06/11/2020 - Date of meeting:  - External documents:  - Administrator: Mme ATZORI Valeria</dc:description>
  <cp:lastModifiedBy>Ruairi Fitz</cp:lastModifiedBy>
  <cp:revision>2</cp:revision>
  <cp:lastPrinted>2016-01-26T08:31:00Z</cp:lastPrinted>
  <dcterms:created xsi:type="dcterms:W3CDTF">2020-11-23T15:40:00Z</dcterms:created>
  <dcterms:modified xsi:type="dcterms:W3CDTF">2020-11-23T15:40:00Z</dcterms:modified>
  <cp:category>SOC/644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06/11/2020, 22/09/2020, 14/09/2020, 04/09/2020, 01/09/2020, 18/08/2020, 11/08/2020, 22/07/2020, 12/06/2020, 11/06/2020, 04/11/2015, 27/10/2015, 19/10/2015, 09/10/2015, 05/10/2015, 05/10/2015, 26/08/2015, 26/08/2015, 25/08/2015</vt:lpwstr>
  </property>
  <property fmtid="{D5CDD505-2E9C-101B-9397-08002B2CF9AE}" pid="4" name="Pref_Time">
    <vt:lpwstr>12:24:29, 14:14:40, 15:24:43, 14:37:43, 14:59:43, 08:44:33, 15:13:19, 17:09:55, 13:02:06, 11:07:47, 12/10/07, 14:44:02, 16/04/16, 14:09:30, 16:24:55, 16:04:02, 08:56:14, 07:27:56, 17:31:53</vt:lpwstr>
  </property>
  <property fmtid="{D5CDD505-2E9C-101B-9397-08002B2CF9AE}" pid="5" name="Pref_User">
    <vt:lpwstr>hnic, mkop, mkop, amett, hnic, hnic, enied, amett, jhvi, hnic, ssex, enied, amett, tvoc, mreg, mreg, amett, enied, ssex</vt:lpwstr>
  </property>
  <property fmtid="{D5CDD505-2E9C-101B-9397-08002B2CF9AE}" pid="6" name="Pref_FileName">
    <vt:lpwstr>EESC-2020-01913-00-00-AC-TRA-EN-CRR.docx, EESC-2020-01913-00-01-AS-TRA-EN-CRR.docx, EESC-2020-01913-00-00-AS-TRA-EN-CRR.docx, EESC-2020-01913-00-01-PA-TRA-EN-CRR.docx, EESC-2020-01913-00-00-PA-ORI.docx, EESC-2020-01913-00-02-APA-ORI.docx, EESC-2020-01913-</vt:lpwstr>
  </property>
  <property fmtid="{D5CDD505-2E9C-101B-9397-08002B2CF9AE}" pid="7" name="ContentTypeId">
    <vt:lpwstr>0x010100EA97B91038054C99906057A708A1480A0010FCE28FA6316941A8E63DE5CBD60CA0</vt:lpwstr>
  </property>
  <property fmtid="{D5CDD505-2E9C-101B-9397-08002B2CF9AE}" pid="8" name="_dlc_DocIdItemGuid">
    <vt:lpwstr>bc8fefea-63f0-49bd-8c7c-959457a6fb0f</vt:lpwstr>
  </property>
  <property fmtid="{D5CDD505-2E9C-101B-9397-08002B2CF9AE}" pid="9" name="AvailableTranslations">
    <vt:lpwstr>30;#LT|a7ff5ce7-6123-4f68-865a-a57c31810414;#40;#SV|c2ed69e7-a339-43d7-8f22-d93680a92aa0;#9;#PL|1e03da61-4678-4e07-b136-b5024ca9197b;#45;#FI|87606a43-d45f-42d6-b8c9-e1a3457db5b7;#34;#SL|98a412ae-eb01-49e9-ae3d-585a81724cfc;#31;#CS|72f9705b-0217-4fd3-bea2-</vt:lpwstr>
  </property>
  <property fmtid="{D5CDD505-2E9C-101B-9397-08002B2CF9AE}" pid="10" name="DocumentType_0">
    <vt:lpwstr>AC|a4cc1d15-fb08-4679-ad46-e4e0cba5fe92</vt:lpwstr>
  </property>
  <property fmtid="{D5CDD505-2E9C-101B-9397-08002B2CF9AE}" pid="11" name="DocumentSource_0">
    <vt:lpwstr>EESC|422833ec-8d7e-4e65-8e4e-8bed07ffb729</vt:lpwstr>
  </property>
  <property fmtid="{D5CDD505-2E9C-101B-9397-08002B2CF9AE}" pid="12" name="ProductionDate">
    <vt:filetime>2020-11-06T12:00:00Z</vt:filetime>
  </property>
  <property fmtid="{D5CDD505-2E9C-101B-9397-08002B2CF9AE}" pid="13" name="FicheYear">
    <vt:i4>2020</vt:i4>
  </property>
  <property fmtid="{D5CDD505-2E9C-101B-9397-08002B2CF9AE}" pid="14" name="DocumentNumber">
    <vt:i4>1913</vt:i4>
  </property>
  <property fmtid="{D5CDD505-2E9C-101B-9397-08002B2CF9AE}" pid="15" name="DocumentVersion">
    <vt:i4>0</vt:i4>
  </property>
  <property fmtid="{D5CDD505-2E9C-101B-9397-08002B2CF9AE}" pid="16" name="DossierNumber">
    <vt:i4>644</vt:i4>
  </property>
  <property fmtid="{D5CDD505-2E9C-101B-9397-08002B2CF9AE}" pid="17" name="DocumentStatus">
    <vt:lpwstr>2;#TRA|150d2a88-1431-44e6-a8ca-0bb753ab8672</vt:lpwstr>
  </property>
  <property fmtid="{D5CDD505-2E9C-101B-9397-08002B2CF9AE}" pid="18" name="DossierName">
    <vt:lpwstr>26;#SOC|13795804-ecbd-4ce5-9693-9b8be1981b20</vt:lpwstr>
  </property>
  <property fmtid="{D5CDD505-2E9C-101B-9397-08002B2CF9AE}" pid="19" name="Confidentiality_0">
    <vt:lpwstr>Unrestricted|826e22d7-d029-4ec0-a450-0c28ff673572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
  </property>
  <property fmtid="{D5CDD505-2E9C-101B-9397-08002B2CF9AE}" pid="23" name="TaxCatchAll">
    <vt:lpwstr>2;#TRA|150d2a88-1431-44e6-a8ca-0bb753ab8672;#26;#SOC|13795804-ecbd-4ce5-9693-9b8be1981b20;#6;#Final|ea5e6674-7b27-4bac-b091-73adbb394efe;#5;#Unrestricted|826e22d7-d029-4ec0-a450-0c28ff673572;#4;#EN|f2175f21-25d7-44a3-96da-d6a61b075e1b;#70;#AC|a4cc1d15-fb0</vt:lpwstr>
  </property>
  <property fmtid="{D5CDD505-2E9C-101B-9397-08002B2CF9AE}" pid="24" name="DocumentLanguage_0">
    <vt:lpwstr>EN|f2175f21-25d7-44a3-96da-d6a61b075e1b</vt:lpwstr>
  </property>
  <property fmtid="{D5CDD505-2E9C-101B-9397-08002B2CF9AE}" pid="25" name="Rapporteur">
    <vt:lpwstr>DRBALOVÁ &amp; DEL RIO</vt:lpwstr>
  </property>
  <property fmtid="{D5CDD505-2E9C-101B-9397-08002B2CF9AE}" pid="26" name="VersionStatus_0">
    <vt:lpwstr>Final|ea5e6674-7b27-4bac-b091-73adbb394efe</vt:lpwstr>
  </property>
  <property fmtid="{D5CDD505-2E9C-101B-9397-08002B2CF9AE}" pid="27" name="VersionStatus">
    <vt:lpwstr>6;#Final|ea5e6674-7b27-4bac-b091-73adbb394efe</vt:lpwstr>
  </property>
  <property fmtid="{D5CDD505-2E9C-101B-9397-08002B2CF9AE}" pid="28" name="DocumentYear">
    <vt:i4>2020</vt:i4>
  </property>
  <property fmtid="{D5CDD505-2E9C-101B-9397-08002B2CF9AE}" pid="29" name="FicheNumber">
    <vt:i4>3703</vt:i4>
  </property>
  <property fmtid="{D5CDD505-2E9C-101B-9397-08002B2CF9AE}" pid="30" name="DocumentPart">
    <vt:i4>0</vt:i4>
  </property>
  <property fmtid="{D5CDD505-2E9C-101B-9397-08002B2CF9AE}" pid="31" name="DocumentSource">
    <vt:lpwstr>1;#EESC|422833ec-8d7e-4e65-8e4e-8bed07ffb729</vt:lpwstr>
  </property>
  <property fmtid="{D5CDD505-2E9C-101B-9397-08002B2CF9AE}" pid="32" name="AdoptionDate">
    <vt:filetime>2020-10-29T12:00:00Z</vt:filetime>
  </property>
  <property fmtid="{D5CDD505-2E9C-101B-9397-08002B2CF9AE}" pid="33" name="DocumentType">
    <vt:lpwstr>70;#AC|a4cc1d15-fb08-4679-ad46-e4e0cba5fe92</vt:lpwstr>
  </property>
  <property fmtid="{D5CDD505-2E9C-101B-9397-08002B2CF9AE}" pid="34" name="RequestingService">
    <vt:lpwstr>Emploi, affaires sociales, citoyenneté</vt:lpwstr>
  </property>
  <property fmtid="{D5CDD505-2E9C-101B-9397-08002B2CF9AE}" pid="35" name="DocumentLanguage">
    <vt:lpwstr>4;#EN|f2175f21-25d7-44a3-96da-d6a61b075e1b</vt:lpwstr>
  </property>
  <property fmtid="{D5CDD505-2E9C-101B-9397-08002B2CF9AE}" pid="36" name="AvailableTranslations_0">
    <vt:lpwstr>EN|f2175f21-25d7-44a3-96da-d6a61b075e1b</vt:lpwstr>
  </property>
  <property fmtid="{D5CDD505-2E9C-101B-9397-08002B2CF9AE}" pid="37" name="DocumentStatus_0">
    <vt:lpwstr>TRA|150d2a88-1431-44e6-a8ca-0bb753ab8672</vt:lpwstr>
  </property>
  <property fmtid="{D5CDD505-2E9C-101B-9397-08002B2CF9AE}" pid="38" name="OriginalLanguage_0">
    <vt:lpwstr>EN|f2175f21-25d7-44a3-96da-d6a61b075e1b</vt:lpwstr>
  </property>
  <property fmtid="{D5CDD505-2E9C-101B-9397-08002B2CF9AE}" pid="39" name="_docset_NoMedatataSyncRequired">
    <vt:lpwstr>False</vt:lpwstr>
  </property>
  <property fmtid="{D5CDD505-2E9C-101B-9397-08002B2CF9AE}" pid="40" name="DossierName_0">
    <vt:lpwstr>SOC|13795804-ecbd-4ce5-9693-9b8be1981b20</vt:lpwstr>
  </property>
  <property fmtid="{D5CDD505-2E9C-101B-9397-08002B2CF9AE}" pid="41" name="MeetingName_0">
    <vt:lpwstr/>
  </property>
</Properties>
</file>